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F4596">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4B986DAF">
      <w:pPr>
        <w:jc w:val="center"/>
        <w:rPr>
          <w:rFonts w:hint="eastAsia"/>
          <w:sz w:val="28"/>
          <w:szCs w:val="28"/>
          <w:lang w:val="en-US" w:eastAsia="zh-CN"/>
        </w:rPr>
      </w:pPr>
      <w:r>
        <w:rPr>
          <w:rFonts w:hint="eastAsia"/>
          <w:sz w:val="28"/>
          <w:szCs w:val="28"/>
          <w:lang w:val="en-US" w:eastAsia="zh-CN"/>
        </w:rPr>
        <w:t>评分细则</w:t>
      </w:r>
    </w:p>
    <w:tbl>
      <w:tblPr>
        <w:tblStyle w:val="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949"/>
        <w:gridCol w:w="736"/>
        <w:gridCol w:w="612"/>
        <w:gridCol w:w="5626"/>
      </w:tblGrid>
      <w:tr w14:paraId="0584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jc w:val="center"/>
        </w:trPr>
        <w:tc>
          <w:tcPr>
            <w:tcW w:w="1337" w:type="pct"/>
            <w:gridSpan w:val="3"/>
            <w:vMerge w:val="restart"/>
            <w:tcBorders>
              <w:top w:val="single" w:color="auto" w:sz="4" w:space="0"/>
              <w:left w:val="single" w:color="auto" w:sz="4" w:space="0"/>
              <w:right w:val="single" w:color="auto" w:sz="4" w:space="0"/>
            </w:tcBorders>
            <w:noWrap w:val="0"/>
            <w:vAlign w:val="center"/>
          </w:tcPr>
          <w:p w14:paraId="7C78ADB7">
            <w:pPr>
              <w:rPr>
                <w:rFonts w:ascii="宋体" w:hAnsi="宋体" w:eastAsia="宋体" w:cs="Times New Roman"/>
                <w:sz w:val="21"/>
                <w:szCs w:val="21"/>
              </w:rPr>
            </w:pPr>
            <w:r>
              <w:rPr>
                <w:rFonts w:hint="eastAsia" w:ascii="宋体" w:hAnsi="宋体" w:eastAsia="宋体" w:cs="Times New Roman"/>
                <w:sz w:val="21"/>
                <w:szCs w:val="21"/>
              </w:rPr>
              <w:t>分值构成(总分100分)</w:t>
            </w:r>
          </w:p>
        </w:tc>
        <w:tc>
          <w:tcPr>
            <w:tcW w:w="3662" w:type="pct"/>
            <w:gridSpan w:val="2"/>
            <w:tcBorders>
              <w:top w:val="single" w:color="auto" w:sz="4" w:space="0"/>
              <w:left w:val="single" w:color="auto" w:sz="4" w:space="0"/>
              <w:right w:val="single" w:color="auto" w:sz="4" w:space="0"/>
            </w:tcBorders>
            <w:noWrap w:val="0"/>
            <w:vAlign w:val="center"/>
          </w:tcPr>
          <w:p w14:paraId="6FD019C1">
            <w:pPr>
              <w:rPr>
                <w:rFonts w:ascii="宋体" w:hAnsi="宋体" w:eastAsia="宋体" w:cs="Times New Roman"/>
                <w:sz w:val="21"/>
                <w:szCs w:val="21"/>
                <w:highlight w:val="none"/>
              </w:rPr>
            </w:pPr>
            <w:r>
              <w:rPr>
                <w:rFonts w:hint="eastAsia" w:ascii="宋体" w:hAnsi="宋体" w:eastAsia="宋体" w:cs="Times New Roman"/>
                <w:sz w:val="21"/>
                <w:szCs w:val="21"/>
                <w:highlight w:val="none"/>
              </w:rPr>
              <w:t>价格部分：</w:t>
            </w:r>
            <w:r>
              <w:rPr>
                <w:rFonts w:hint="eastAsia" w:ascii="宋体" w:hAnsi="宋体" w:eastAsia="宋体" w:cs="Times New Roman"/>
                <w:sz w:val="21"/>
                <w:szCs w:val="21"/>
                <w:highlight w:val="none"/>
                <w:lang w:val="en-US" w:eastAsia="zh-CN"/>
              </w:rPr>
              <w:t>20</w:t>
            </w:r>
            <w:r>
              <w:rPr>
                <w:rFonts w:hint="eastAsia" w:ascii="宋体" w:hAnsi="宋体" w:eastAsia="宋体" w:cs="Times New Roman"/>
                <w:sz w:val="21"/>
                <w:szCs w:val="21"/>
                <w:highlight w:val="none"/>
              </w:rPr>
              <w:t>分</w:t>
            </w:r>
          </w:p>
        </w:tc>
      </w:tr>
      <w:tr w14:paraId="53F4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337" w:type="pct"/>
            <w:gridSpan w:val="3"/>
            <w:vMerge w:val="continue"/>
            <w:tcBorders>
              <w:left w:val="single" w:color="auto" w:sz="4" w:space="0"/>
              <w:right w:val="single" w:color="auto" w:sz="4" w:space="0"/>
            </w:tcBorders>
            <w:noWrap w:val="0"/>
            <w:vAlign w:val="center"/>
          </w:tcPr>
          <w:p w14:paraId="6392857B">
            <w:pPr>
              <w:rPr>
                <w:rFonts w:ascii="宋体" w:hAnsi="宋体" w:eastAsia="宋体" w:cs="Times New Roman"/>
                <w:sz w:val="21"/>
                <w:szCs w:val="21"/>
              </w:rPr>
            </w:pPr>
          </w:p>
        </w:tc>
        <w:tc>
          <w:tcPr>
            <w:tcW w:w="3662" w:type="pct"/>
            <w:gridSpan w:val="2"/>
            <w:tcBorders>
              <w:left w:val="single" w:color="auto" w:sz="4" w:space="0"/>
              <w:bottom w:val="single" w:color="auto" w:sz="4" w:space="0"/>
              <w:right w:val="single" w:color="auto" w:sz="4" w:space="0"/>
            </w:tcBorders>
            <w:noWrap w:val="0"/>
            <w:vAlign w:val="center"/>
          </w:tcPr>
          <w:p w14:paraId="5CE58B69">
            <w:pPr>
              <w:rPr>
                <w:rFonts w:ascii="宋体" w:hAnsi="宋体" w:eastAsia="宋体" w:cs="Times New Roman"/>
                <w:sz w:val="21"/>
                <w:szCs w:val="21"/>
                <w:highlight w:val="none"/>
              </w:rPr>
            </w:pPr>
            <w:r>
              <w:rPr>
                <w:rFonts w:hint="eastAsia" w:ascii="宋体" w:hAnsi="宋体" w:eastAsia="宋体" w:cs="Times New Roman"/>
                <w:sz w:val="21"/>
                <w:szCs w:val="21"/>
                <w:highlight w:val="none"/>
              </w:rPr>
              <w:t>商务部分：</w:t>
            </w:r>
            <w:r>
              <w:rPr>
                <w:rFonts w:hint="eastAsia" w:ascii="宋体" w:hAnsi="宋体" w:eastAsia="宋体" w:cs="Times New Roman"/>
                <w:sz w:val="21"/>
                <w:szCs w:val="21"/>
                <w:highlight w:val="none"/>
                <w:lang w:val="en-US" w:eastAsia="zh-CN"/>
              </w:rPr>
              <w:t>18</w:t>
            </w:r>
            <w:r>
              <w:rPr>
                <w:rFonts w:hint="eastAsia" w:ascii="宋体" w:hAnsi="宋体" w:eastAsia="宋体" w:cs="Times New Roman"/>
                <w:sz w:val="21"/>
                <w:szCs w:val="21"/>
                <w:highlight w:val="none"/>
              </w:rPr>
              <w:t>分</w:t>
            </w:r>
          </w:p>
        </w:tc>
      </w:tr>
      <w:tr w14:paraId="4A95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jc w:val="center"/>
        </w:trPr>
        <w:tc>
          <w:tcPr>
            <w:tcW w:w="1337" w:type="pct"/>
            <w:gridSpan w:val="3"/>
            <w:vMerge w:val="continue"/>
            <w:tcBorders>
              <w:left w:val="single" w:color="auto" w:sz="4" w:space="0"/>
              <w:right w:val="single" w:color="auto" w:sz="4" w:space="0"/>
            </w:tcBorders>
            <w:noWrap w:val="0"/>
            <w:vAlign w:val="center"/>
          </w:tcPr>
          <w:p w14:paraId="4D2CF687">
            <w:pPr>
              <w:rPr>
                <w:rFonts w:ascii="宋体" w:hAnsi="宋体" w:eastAsia="宋体" w:cs="Times New Roman"/>
                <w:sz w:val="21"/>
                <w:szCs w:val="21"/>
              </w:rPr>
            </w:pPr>
          </w:p>
        </w:tc>
        <w:tc>
          <w:tcPr>
            <w:tcW w:w="3662" w:type="pct"/>
            <w:gridSpan w:val="2"/>
            <w:tcBorders>
              <w:left w:val="single" w:color="auto" w:sz="4" w:space="0"/>
              <w:bottom w:val="single" w:color="auto" w:sz="4" w:space="0"/>
              <w:right w:val="single" w:color="auto" w:sz="4" w:space="0"/>
            </w:tcBorders>
            <w:noWrap w:val="0"/>
            <w:vAlign w:val="center"/>
          </w:tcPr>
          <w:p w14:paraId="0EAAE6A9">
            <w:pPr>
              <w:rPr>
                <w:rFonts w:ascii="宋体" w:hAnsi="宋体" w:eastAsia="宋体" w:cs="Times New Roman"/>
                <w:sz w:val="21"/>
                <w:szCs w:val="21"/>
                <w:highlight w:val="none"/>
              </w:rPr>
            </w:pPr>
            <w:r>
              <w:rPr>
                <w:rFonts w:hint="eastAsia" w:ascii="宋体" w:hAnsi="宋体" w:eastAsia="宋体" w:cs="Times New Roman"/>
                <w:sz w:val="21"/>
                <w:szCs w:val="21"/>
                <w:highlight w:val="none"/>
              </w:rPr>
              <w:t>技术部分：</w:t>
            </w:r>
            <w:r>
              <w:rPr>
                <w:rFonts w:hint="eastAsia" w:ascii="宋体" w:hAnsi="宋体" w:eastAsia="宋体" w:cs="Times New Roman"/>
                <w:sz w:val="21"/>
                <w:szCs w:val="21"/>
                <w:highlight w:val="none"/>
                <w:lang w:val="en-US" w:eastAsia="zh-CN"/>
              </w:rPr>
              <w:t>62</w:t>
            </w:r>
            <w:r>
              <w:rPr>
                <w:rFonts w:hint="eastAsia" w:ascii="宋体" w:hAnsi="宋体" w:eastAsia="宋体" w:cs="Times New Roman"/>
                <w:sz w:val="21"/>
                <w:szCs w:val="21"/>
                <w:highlight w:val="none"/>
              </w:rPr>
              <w:t>分</w:t>
            </w:r>
          </w:p>
        </w:tc>
      </w:tr>
      <w:tr w14:paraId="7AA1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1337" w:type="pct"/>
            <w:gridSpan w:val="3"/>
            <w:tcBorders>
              <w:left w:val="single" w:color="auto" w:sz="4" w:space="0"/>
              <w:right w:val="single" w:color="auto" w:sz="4" w:space="0"/>
            </w:tcBorders>
            <w:noWrap w:val="0"/>
            <w:vAlign w:val="center"/>
          </w:tcPr>
          <w:p w14:paraId="2F3C2D54">
            <w:pPr>
              <w:rPr>
                <w:rFonts w:ascii="宋体" w:hAnsi="宋体" w:eastAsia="宋体" w:cs="Times New Roman"/>
                <w:sz w:val="21"/>
                <w:szCs w:val="21"/>
              </w:rPr>
            </w:pPr>
            <w:r>
              <w:rPr>
                <w:rFonts w:hint="eastAsia" w:ascii="宋体" w:hAnsi="宋体" w:eastAsia="宋体" w:cs="Times New Roman"/>
                <w:sz w:val="21"/>
                <w:szCs w:val="21"/>
              </w:rPr>
              <w:t>评标基准价计算方法</w:t>
            </w:r>
          </w:p>
        </w:tc>
        <w:tc>
          <w:tcPr>
            <w:tcW w:w="3662" w:type="pct"/>
            <w:gridSpan w:val="2"/>
            <w:tcBorders>
              <w:left w:val="single" w:color="auto" w:sz="4" w:space="0"/>
              <w:right w:val="single" w:color="auto" w:sz="4" w:space="0"/>
            </w:tcBorders>
            <w:noWrap w:val="0"/>
            <w:vAlign w:val="center"/>
          </w:tcPr>
          <w:p w14:paraId="7259E2A2">
            <w:pPr>
              <w:rPr>
                <w:rFonts w:hint="eastAsia" w:ascii="宋体" w:hAnsi="宋体" w:eastAsia="宋体" w:cs="Times New Roman"/>
                <w:sz w:val="21"/>
                <w:szCs w:val="21"/>
              </w:rPr>
            </w:pPr>
            <w:r>
              <w:rPr>
                <w:rFonts w:hint="eastAsia" w:ascii="宋体" w:hAnsi="宋体" w:eastAsia="宋体" w:cs="Times New Roman"/>
                <w:sz w:val="21"/>
                <w:szCs w:val="21"/>
              </w:rPr>
              <w:t>满足磋商文件要求且报价最低的</w:t>
            </w:r>
            <w:r>
              <w:rPr>
                <w:rFonts w:hint="eastAsia" w:ascii="宋体" w:hAnsi="宋体" w:eastAsia="宋体" w:cs="Times New Roman"/>
                <w:sz w:val="21"/>
                <w:szCs w:val="21"/>
                <w:lang w:eastAsia="zh-CN"/>
              </w:rPr>
              <w:t>磋商报价</w:t>
            </w:r>
            <w:r>
              <w:rPr>
                <w:rFonts w:hint="eastAsia" w:ascii="宋体" w:hAnsi="宋体" w:eastAsia="宋体" w:cs="Times New Roman"/>
                <w:sz w:val="21"/>
                <w:szCs w:val="21"/>
              </w:rPr>
              <w:t>为磋商基准价</w:t>
            </w:r>
          </w:p>
        </w:tc>
      </w:tr>
      <w:tr w14:paraId="27EE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48" w:type="pct"/>
            <w:tcBorders>
              <w:top w:val="single" w:color="auto" w:sz="4" w:space="0"/>
              <w:left w:val="single" w:color="auto" w:sz="4" w:space="0"/>
              <w:bottom w:val="single" w:color="auto" w:sz="4" w:space="0"/>
              <w:right w:val="single" w:color="auto" w:sz="4" w:space="0"/>
            </w:tcBorders>
            <w:noWrap w:val="0"/>
            <w:vAlign w:val="center"/>
          </w:tcPr>
          <w:p w14:paraId="257841F2">
            <w:pPr>
              <w:rPr>
                <w:rFonts w:ascii="宋体" w:hAnsi="宋体" w:eastAsia="宋体" w:cs="Times New Roman"/>
                <w:b/>
                <w:bCs/>
                <w:sz w:val="21"/>
                <w:szCs w:val="21"/>
              </w:rPr>
            </w:pPr>
            <w:bookmarkStart w:id="0" w:name="_Toc256691309"/>
            <w:bookmarkStart w:id="1" w:name="_Toc256695185"/>
            <w:r>
              <w:rPr>
                <w:rFonts w:hint="eastAsia" w:ascii="宋体" w:hAnsi="宋体" w:eastAsia="宋体" w:cs="Times New Roman"/>
                <w:b/>
                <w:bCs/>
                <w:sz w:val="21"/>
                <w:szCs w:val="21"/>
              </w:rPr>
              <w:t>序号</w:t>
            </w:r>
            <w:bookmarkEnd w:id="0"/>
            <w:bookmarkEnd w:id="1"/>
          </w:p>
        </w:tc>
        <w:tc>
          <w:tcPr>
            <w:tcW w:w="989" w:type="pct"/>
            <w:gridSpan w:val="2"/>
            <w:tcBorders>
              <w:top w:val="single" w:color="auto" w:sz="4" w:space="0"/>
              <w:left w:val="single" w:color="auto" w:sz="4" w:space="0"/>
              <w:bottom w:val="single" w:color="auto" w:sz="4" w:space="0"/>
              <w:right w:val="single" w:color="auto" w:sz="4" w:space="0"/>
            </w:tcBorders>
            <w:noWrap w:val="0"/>
            <w:vAlign w:val="center"/>
          </w:tcPr>
          <w:p w14:paraId="47767972">
            <w:pPr>
              <w:jc w:val="center"/>
              <w:rPr>
                <w:rFonts w:ascii="宋体" w:hAnsi="宋体" w:eastAsia="宋体" w:cs="Times New Roman"/>
                <w:b/>
                <w:bCs/>
                <w:sz w:val="21"/>
                <w:szCs w:val="21"/>
              </w:rPr>
            </w:pPr>
            <w:bookmarkStart w:id="2" w:name="_Toc256695186"/>
            <w:bookmarkStart w:id="3" w:name="_Toc256691310"/>
            <w:r>
              <w:rPr>
                <w:rFonts w:hint="eastAsia" w:ascii="宋体" w:hAnsi="宋体" w:eastAsia="宋体" w:cs="Times New Roman"/>
                <w:b/>
                <w:bCs/>
                <w:sz w:val="21"/>
                <w:szCs w:val="21"/>
              </w:rPr>
              <w:t>评分要素</w:t>
            </w:r>
            <w:bookmarkEnd w:id="2"/>
            <w:bookmarkEnd w:id="3"/>
            <w:bookmarkStart w:id="4" w:name="_Toc256691311"/>
            <w:bookmarkStart w:id="5" w:name="_Toc256695187"/>
          </w:p>
        </w:tc>
        <w:tc>
          <w:tcPr>
            <w:tcW w:w="359" w:type="pct"/>
            <w:tcBorders>
              <w:top w:val="single" w:color="auto" w:sz="4" w:space="0"/>
              <w:left w:val="single" w:color="auto" w:sz="4" w:space="0"/>
              <w:bottom w:val="single" w:color="auto" w:sz="4" w:space="0"/>
              <w:right w:val="single" w:color="auto" w:sz="4" w:space="0"/>
            </w:tcBorders>
            <w:noWrap w:val="0"/>
            <w:vAlign w:val="center"/>
          </w:tcPr>
          <w:p w14:paraId="7C62057E">
            <w:pPr>
              <w:jc w:val="center"/>
              <w:rPr>
                <w:rFonts w:ascii="宋体" w:hAnsi="宋体" w:eastAsia="宋体" w:cs="Times New Roman"/>
                <w:b/>
                <w:bCs/>
                <w:sz w:val="21"/>
                <w:szCs w:val="21"/>
              </w:rPr>
            </w:pPr>
            <w:r>
              <w:rPr>
                <w:rFonts w:hint="eastAsia" w:ascii="宋体" w:hAnsi="宋体" w:eastAsia="宋体" w:cs="Times New Roman"/>
                <w:b/>
                <w:bCs/>
                <w:sz w:val="21"/>
                <w:szCs w:val="21"/>
              </w:rPr>
              <w:t>分值</w:t>
            </w:r>
            <w:bookmarkEnd w:id="4"/>
            <w:bookmarkEnd w:id="5"/>
          </w:p>
        </w:tc>
        <w:tc>
          <w:tcPr>
            <w:tcW w:w="3303" w:type="pct"/>
            <w:tcBorders>
              <w:top w:val="single" w:color="auto" w:sz="4" w:space="0"/>
              <w:left w:val="single" w:color="auto" w:sz="4" w:space="0"/>
              <w:bottom w:val="single" w:color="auto" w:sz="4" w:space="0"/>
              <w:right w:val="single" w:color="auto" w:sz="4" w:space="0"/>
            </w:tcBorders>
            <w:noWrap w:val="0"/>
            <w:vAlign w:val="center"/>
          </w:tcPr>
          <w:p w14:paraId="31386151">
            <w:pPr>
              <w:jc w:val="center"/>
              <w:rPr>
                <w:rFonts w:ascii="宋体" w:hAnsi="宋体" w:eastAsia="宋体" w:cs="Times New Roman"/>
                <w:b/>
                <w:bCs/>
                <w:sz w:val="21"/>
                <w:szCs w:val="21"/>
              </w:rPr>
            </w:pPr>
            <w:bookmarkStart w:id="6" w:name="_Toc256695188"/>
            <w:bookmarkStart w:id="7" w:name="_Toc256691312"/>
            <w:r>
              <w:rPr>
                <w:rFonts w:hint="eastAsia" w:ascii="宋体" w:hAnsi="宋体" w:eastAsia="宋体" w:cs="Times New Roman"/>
                <w:b/>
                <w:bCs/>
                <w:sz w:val="21"/>
                <w:szCs w:val="21"/>
              </w:rPr>
              <w:t>评分标准</w:t>
            </w:r>
            <w:bookmarkEnd w:id="6"/>
            <w:bookmarkEnd w:id="7"/>
          </w:p>
        </w:tc>
      </w:tr>
      <w:tr w14:paraId="4EDC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348" w:type="pct"/>
            <w:tcBorders>
              <w:top w:val="single" w:color="auto" w:sz="4" w:space="0"/>
              <w:left w:val="single" w:color="auto" w:sz="4" w:space="0"/>
              <w:right w:val="single" w:color="auto" w:sz="4" w:space="0"/>
            </w:tcBorders>
            <w:noWrap w:val="0"/>
            <w:vAlign w:val="center"/>
          </w:tcPr>
          <w:p w14:paraId="4BA54F58">
            <w:pPr>
              <w:jc w:val="center"/>
              <w:rPr>
                <w:rFonts w:hint="eastAsia" w:ascii="宋体" w:hAnsi="宋体" w:eastAsia="宋体" w:cs="Times New Roman"/>
                <w:sz w:val="21"/>
                <w:szCs w:val="21"/>
              </w:rPr>
            </w:pPr>
            <w:r>
              <w:rPr>
                <w:rFonts w:hint="eastAsia" w:ascii="宋体" w:hAnsi="宋体" w:eastAsia="宋体" w:cs="Times New Roman"/>
                <w:sz w:val="21"/>
                <w:szCs w:val="21"/>
              </w:rPr>
              <w:t>1</w:t>
            </w:r>
          </w:p>
        </w:tc>
        <w:tc>
          <w:tcPr>
            <w:tcW w:w="557" w:type="pct"/>
            <w:tcBorders>
              <w:top w:val="single" w:color="auto" w:sz="4" w:space="0"/>
              <w:left w:val="single" w:color="auto" w:sz="4" w:space="0"/>
              <w:right w:val="single" w:color="auto" w:sz="4" w:space="0"/>
            </w:tcBorders>
            <w:noWrap w:val="0"/>
            <w:vAlign w:val="center"/>
          </w:tcPr>
          <w:p w14:paraId="3E4D70C5">
            <w:pPr>
              <w:spacing w:line="240" w:lineRule="exact"/>
              <w:jc w:val="center"/>
              <w:rPr>
                <w:rFonts w:hint="eastAsia" w:ascii="Calibri" w:hAnsi="Calibri" w:eastAsia="宋体" w:cs="Times New Roman"/>
                <w:b w:val="0"/>
                <w:bCs w:val="0"/>
                <w:kern w:val="2"/>
                <w:sz w:val="21"/>
                <w:szCs w:val="21"/>
                <w:lang w:val="en-US" w:eastAsia="zh-CN" w:bidi="ar-SA"/>
              </w:rPr>
            </w:pPr>
            <w:r>
              <w:rPr>
                <w:rFonts w:hint="eastAsia" w:ascii="Calibri" w:hAnsi="Calibri" w:eastAsia="宋体" w:cs="Times New Roman"/>
                <w:b w:val="0"/>
                <w:bCs w:val="0"/>
                <w:kern w:val="2"/>
                <w:sz w:val="21"/>
                <w:szCs w:val="21"/>
                <w:lang w:val="en-US" w:eastAsia="zh-CN" w:bidi="ar-SA"/>
              </w:rPr>
              <w:t>价格</w:t>
            </w:r>
          </w:p>
          <w:p w14:paraId="18C7A0E7">
            <w:pPr>
              <w:spacing w:line="240" w:lineRule="exact"/>
              <w:jc w:val="center"/>
              <w:rPr>
                <w:rFonts w:hint="eastAsia" w:ascii="Calibri" w:hAnsi="Calibri" w:eastAsia="宋体" w:cs="Times New Roman"/>
                <w:b w:val="0"/>
                <w:bCs w:val="0"/>
                <w:kern w:val="2"/>
                <w:sz w:val="21"/>
                <w:szCs w:val="21"/>
                <w:lang w:val="en-US" w:eastAsia="zh-CN" w:bidi="ar-SA"/>
              </w:rPr>
            </w:pPr>
            <w:r>
              <w:rPr>
                <w:rFonts w:hint="eastAsia" w:ascii="Calibri" w:hAnsi="Calibri" w:eastAsia="宋体" w:cs="Times New Roman"/>
                <w:b w:val="0"/>
                <w:bCs w:val="0"/>
                <w:kern w:val="2"/>
                <w:sz w:val="21"/>
                <w:szCs w:val="21"/>
                <w:lang w:val="en-US" w:eastAsia="zh-CN" w:bidi="ar-SA"/>
              </w:rPr>
              <w:t>部分</w:t>
            </w:r>
          </w:p>
          <w:p w14:paraId="28FA8FD1">
            <w:pPr>
              <w:spacing w:line="240" w:lineRule="exact"/>
              <w:jc w:val="center"/>
              <w:rPr>
                <w:rFonts w:hint="eastAsia" w:ascii="Calibri" w:hAnsi="Calibri" w:eastAsia="宋体" w:cs="Times New Roman"/>
                <w:b w:val="0"/>
                <w:bCs w:val="0"/>
                <w:kern w:val="2"/>
                <w:sz w:val="21"/>
                <w:szCs w:val="21"/>
                <w:lang w:val="en-US" w:eastAsia="zh-CN" w:bidi="ar-SA"/>
              </w:rPr>
            </w:pPr>
            <w:r>
              <w:rPr>
                <w:rFonts w:hint="eastAsia" w:ascii="宋体" w:hAnsi="宋体" w:eastAsia="宋体" w:cs="Times New Roman"/>
                <w:kern w:val="2"/>
                <w:sz w:val="21"/>
                <w:szCs w:val="21"/>
                <w:lang w:val="en-US" w:eastAsia="zh-CN" w:bidi="ar-SA"/>
              </w:rPr>
              <w:t>（20分）</w:t>
            </w:r>
          </w:p>
        </w:tc>
        <w:tc>
          <w:tcPr>
            <w:tcW w:w="432" w:type="pct"/>
            <w:tcBorders>
              <w:top w:val="single" w:color="auto" w:sz="4" w:space="0"/>
              <w:left w:val="single" w:color="auto" w:sz="4" w:space="0"/>
              <w:right w:val="single" w:color="auto" w:sz="4" w:space="0"/>
            </w:tcBorders>
            <w:noWrap w:val="0"/>
            <w:vAlign w:val="center"/>
          </w:tcPr>
          <w:p w14:paraId="4A415531">
            <w:pPr>
              <w:spacing w:line="240" w:lineRule="exact"/>
              <w:jc w:val="center"/>
              <w:rPr>
                <w:rFonts w:hint="eastAsia" w:ascii="Calibri" w:hAnsi="Calibri" w:eastAsia="宋体" w:cs="Times New Roman"/>
                <w:b w:val="0"/>
                <w:bCs w:val="0"/>
                <w:kern w:val="2"/>
                <w:sz w:val="21"/>
                <w:szCs w:val="21"/>
                <w:lang w:val="en-US" w:eastAsia="zh-CN" w:bidi="ar-SA"/>
              </w:rPr>
            </w:pPr>
            <w:r>
              <w:rPr>
                <w:rFonts w:hint="eastAsia" w:eastAsia="宋体" w:cs="Times New Roman"/>
                <w:b w:val="0"/>
                <w:bCs w:val="0"/>
                <w:kern w:val="2"/>
                <w:sz w:val="21"/>
                <w:szCs w:val="21"/>
                <w:lang w:val="en-US" w:eastAsia="zh-CN" w:bidi="ar-SA"/>
              </w:rPr>
              <w:t>磋商报价</w:t>
            </w:r>
          </w:p>
        </w:tc>
        <w:tc>
          <w:tcPr>
            <w:tcW w:w="359" w:type="pct"/>
            <w:tcBorders>
              <w:top w:val="single" w:color="auto" w:sz="4" w:space="0"/>
              <w:left w:val="single" w:color="auto" w:sz="4" w:space="0"/>
              <w:right w:val="single" w:color="auto" w:sz="4" w:space="0"/>
            </w:tcBorders>
            <w:noWrap w:val="0"/>
            <w:vAlign w:val="center"/>
          </w:tcPr>
          <w:p w14:paraId="3BCADFD2">
            <w:pPr>
              <w:spacing w:line="240" w:lineRule="exact"/>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20</w:t>
            </w:r>
          </w:p>
        </w:tc>
        <w:tc>
          <w:tcPr>
            <w:tcW w:w="3303" w:type="pct"/>
            <w:tcBorders>
              <w:top w:val="single" w:color="auto" w:sz="4" w:space="0"/>
              <w:left w:val="single" w:color="auto" w:sz="4" w:space="0"/>
              <w:bottom w:val="single" w:color="auto" w:sz="4" w:space="0"/>
              <w:right w:val="single" w:color="auto" w:sz="4" w:space="0"/>
            </w:tcBorders>
            <w:noWrap w:val="0"/>
            <w:vAlign w:val="center"/>
          </w:tcPr>
          <w:p w14:paraId="698A8504">
            <w:pPr>
              <w:spacing w:line="240" w:lineRule="auto"/>
              <w:jc w:val="both"/>
              <w:rPr>
                <w:rFonts w:hint="eastAsia" w:eastAsia="宋体" w:cs="Times New Roman"/>
                <w:b w:val="0"/>
                <w:bCs w:val="0"/>
                <w:kern w:val="2"/>
                <w:sz w:val="21"/>
                <w:szCs w:val="21"/>
                <w:lang w:val="en-US" w:eastAsia="zh-CN" w:bidi="ar-SA"/>
              </w:rPr>
            </w:pPr>
            <w:r>
              <w:rPr>
                <w:rFonts w:hint="eastAsia" w:ascii="Calibri" w:hAnsi="Calibri" w:eastAsia="宋体" w:cs="Times New Roman"/>
                <w:b w:val="0"/>
                <w:bCs w:val="0"/>
                <w:kern w:val="2"/>
                <w:sz w:val="21"/>
                <w:szCs w:val="21"/>
                <w:lang w:val="en-US" w:eastAsia="zh-CN" w:bidi="ar-SA"/>
              </w:rPr>
              <w:t>评标委员会只对符合性审查合格的</w:t>
            </w:r>
            <w:r>
              <w:rPr>
                <w:rFonts w:hint="eastAsia" w:eastAsia="宋体" w:cs="Times New Roman"/>
                <w:b w:val="0"/>
                <w:bCs w:val="0"/>
                <w:kern w:val="2"/>
                <w:sz w:val="21"/>
                <w:szCs w:val="21"/>
                <w:lang w:val="en-US" w:eastAsia="zh-CN" w:bidi="ar-SA"/>
              </w:rPr>
              <w:t>响应</w:t>
            </w:r>
            <w:r>
              <w:rPr>
                <w:rFonts w:hint="eastAsia" w:ascii="Calibri" w:hAnsi="Calibri" w:eastAsia="宋体" w:cs="Times New Roman"/>
                <w:b w:val="0"/>
                <w:bCs w:val="0"/>
                <w:kern w:val="2"/>
                <w:sz w:val="21"/>
                <w:szCs w:val="21"/>
                <w:lang w:val="en-US" w:eastAsia="zh-CN" w:bidi="ar-SA"/>
              </w:rPr>
              <w:t>文件进行价格评议，报价分采用低价优先法计算，即满足招标文件要求且投标价格（</w:t>
            </w:r>
            <w:r>
              <w:rPr>
                <w:rFonts w:hint="eastAsia" w:eastAsia="宋体" w:cs="Times New Roman"/>
                <w:b w:val="0"/>
                <w:bCs w:val="0"/>
                <w:kern w:val="2"/>
                <w:sz w:val="21"/>
                <w:szCs w:val="21"/>
                <w:lang w:val="en-US" w:eastAsia="zh-CN" w:bidi="ar-SA"/>
              </w:rPr>
              <w:t>综合</w:t>
            </w:r>
            <w:r>
              <w:rPr>
                <w:rFonts w:hint="eastAsia" w:ascii="Calibri" w:hAnsi="Calibri" w:eastAsia="宋体" w:cs="Times New Roman"/>
                <w:b w:val="0"/>
                <w:bCs w:val="0"/>
                <w:kern w:val="2"/>
                <w:sz w:val="21"/>
                <w:szCs w:val="21"/>
                <w:lang w:val="en-US" w:eastAsia="zh-CN" w:bidi="ar-SA"/>
              </w:rPr>
              <w:t xml:space="preserve">折扣率）最低的投标报价为评标基准价，其价格分为满分 </w:t>
            </w:r>
            <w:r>
              <w:rPr>
                <w:rFonts w:hint="eastAsia" w:eastAsia="宋体" w:cs="Times New Roman"/>
                <w:b w:val="0"/>
                <w:bCs w:val="0"/>
                <w:kern w:val="2"/>
                <w:sz w:val="21"/>
                <w:szCs w:val="21"/>
                <w:lang w:val="en-US" w:eastAsia="zh-CN" w:bidi="ar-SA"/>
              </w:rPr>
              <w:t>2</w:t>
            </w:r>
            <w:r>
              <w:rPr>
                <w:rFonts w:hint="eastAsia" w:ascii="Calibri" w:hAnsi="Calibri" w:eastAsia="宋体" w:cs="Times New Roman"/>
                <w:b w:val="0"/>
                <w:bCs w:val="0"/>
                <w:kern w:val="2"/>
                <w:sz w:val="21"/>
                <w:szCs w:val="21"/>
                <w:lang w:val="en-US" w:eastAsia="zh-CN" w:bidi="ar-SA"/>
              </w:rPr>
              <w:t>0 分。其他投标人的价格分按照下列公式计算</w:t>
            </w:r>
            <w:r>
              <w:rPr>
                <w:rFonts w:hint="eastAsia" w:eastAsia="宋体" w:cs="Times New Roman"/>
                <w:b w:val="0"/>
                <w:bCs w:val="0"/>
                <w:kern w:val="2"/>
                <w:sz w:val="21"/>
                <w:szCs w:val="21"/>
                <w:lang w:val="en-US" w:eastAsia="zh-CN" w:bidi="ar-SA"/>
              </w:rPr>
              <w:t>：</w:t>
            </w:r>
          </w:p>
          <w:p w14:paraId="014726A5">
            <w:pPr>
              <w:spacing w:line="240" w:lineRule="auto"/>
              <w:jc w:val="both"/>
              <w:rPr>
                <w:rFonts w:hint="eastAsia" w:ascii="Calibri" w:hAnsi="Calibri" w:eastAsia="宋体" w:cs="Times New Roman"/>
                <w:b w:val="0"/>
                <w:bCs w:val="0"/>
                <w:kern w:val="2"/>
                <w:sz w:val="21"/>
                <w:szCs w:val="21"/>
                <w:lang w:val="en-US" w:eastAsia="zh-CN" w:bidi="ar-SA"/>
              </w:rPr>
            </w:pPr>
            <w:r>
              <w:rPr>
                <w:rFonts w:hint="eastAsia" w:ascii="Calibri" w:hAnsi="Calibri" w:eastAsia="宋体" w:cs="Times New Roman"/>
                <w:b w:val="0"/>
                <w:bCs w:val="0"/>
                <w:kern w:val="2"/>
                <w:sz w:val="21"/>
                <w:szCs w:val="21"/>
                <w:lang w:val="en-US" w:eastAsia="zh-CN" w:bidi="ar-SA"/>
              </w:rPr>
              <w:t>报价得分=</w:t>
            </w:r>
            <w:r>
              <w:rPr>
                <w:rFonts w:hint="eastAsia" w:eastAsia="宋体" w:cs="Times New Roman"/>
                <w:b w:val="0"/>
                <w:bCs w:val="0"/>
                <w:kern w:val="2"/>
                <w:sz w:val="21"/>
                <w:szCs w:val="21"/>
                <w:lang w:val="en-US" w:eastAsia="zh-CN" w:bidi="ar-SA"/>
              </w:rPr>
              <w:t>（评标基准价/磋商报价）</w:t>
            </w:r>
            <w:r>
              <w:rPr>
                <w:rFonts w:hint="eastAsia" w:ascii="Calibri" w:hAnsi="Calibri" w:eastAsia="宋体" w:cs="Times New Roman"/>
                <w:b w:val="0"/>
                <w:bCs w:val="0"/>
                <w:kern w:val="2"/>
                <w:sz w:val="21"/>
                <w:szCs w:val="21"/>
                <w:lang w:val="en-US" w:eastAsia="zh-CN" w:bidi="ar-SA"/>
              </w:rPr>
              <w:t>×</w:t>
            </w:r>
            <w:r>
              <w:rPr>
                <w:rFonts w:hint="eastAsia" w:eastAsia="宋体" w:cs="Times New Roman"/>
                <w:b w:val="0"/>
                <w:bCs w:val="0"/>
                <w:kern w:val="2"/>
                <w:sz w:val="21"/>
                <w:szCs w:val="21"/>
                <w:lang w:val="en-US" w:eastAsia="zh-CN" w:bidi="ar-SA"/>
              </w:rPr>
              <w:t>2</w:t>
            </w:r>
            <w:r>
              <w:rPr>
                <w:rFonts w:hint="eastAsia" w:ascii="Calibri" w:hAnsi="Calibri" w:eastAsia="宋体" w:cs="Times New Roman"/>
                <w:b w:val="0"/>
                <w:bCs w:val="0"/>
                <w:kern w:val="2"/>
                <w:sz w:val="21"/>
                <w:szCs w:val="21"/>
                <w:lang w:val="en-US" w:eastAsia="zh-CN" w:bidi="ar-SA"/>
              </w:rPr>
              <w:t>0%×100。</w:t>
            </w:r>
          </w:p>
        </w:tc>
      </w:tr>
      <w:tr w14:paraId="4762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348" w:type="pct"/>
            <w:vMerge w:val="restart"/>
            <w:tcBorders>
              <w:left w:val="single" w:color="auto" w:sz="4" w:space="0"/>
              <w:right w:val="single" w:color="auto" w:sz="4" w:space="0"/>
            </w:tcBorders>
            <w:noWrap w:val="0"/>
            <w:vAlign w:val="center"/>
          </w:tcPr>
          <w:p w14:paraId="12C104EE">
            <w:pPr>
              <w:jc w:val="center"/>
              <w:rPr>
                <w:rFonts w:hint="eastAsia" w:ascii="宋体" w:hAnsi="宋体" w:eastAsia="宋体" w:cs="Times New Roman"/>
                <w:sz w:val="21"/>
                <w:szCs w:val="21"/>
              </w:rPr>
            </w:pPr>
            <w:r>
              <w:rPr>
                <w:rFonts w:hint="eastAsia" w:ascii="宋体" w:hAnsi="宋体" w:eastAsia="宋体" w:cs="Times New Roman"/>
                <w:sz w:val="21"/>
                <w:szCs w:val="21"/>
              </w:rPr>
              <w:t>2</w:t>
            </w:r>
          </w:p>
        </w:tc>
        <w:tc>
          <w:tcPr>
            <w:tcW w:w="557" w:type="pct"/>
            <w:vMerge w:val="restart"/>
            <w:tcBorders>
              <w:left w:val="single" w:color="auto" w:sz="4" w:space="0"/>
              <w:right w:val="single" w:color="auto" w:sz="4" w:space="0"/>
            </w:tcBorders>
            <w:noWrap w:val="0"/>
            <w:vAlign w:val="center"/>
          </w:tcPr>
          <w:p w14:paraId="1AC0A8FC">
            <w:pPr>
              <w:spacing w:line="240" w:lineRule="exact"/>
              <w:jc w:val="center"/>
              <w:rPr>
                <w:rFonts w:hint="eastAsia" w:ascii="Calibri" w:hAnsi="Calibri" w:eastAsia="宋体" w:cs="Times New Roman"/>
                <w:b w:val="0"/>
                <w:bCs w:val="0"/>
                <w:kern w:val="2"/>
                <w:sz w:val="21"/>
                <w:szCs w:val="21"/>
                <w:lang w:val="en-US" w:eastAsia="zh-CN" w:bidi="ar-SA"/>
              </w:rPr>
            </w:pPr>
            <w:r>
              <w:rPr>
                <w:rFonts w:hint="eastAsia" w:ascii="Calibri" w:hAnsi="Calibri" w:eastAsia="宋体" w:cs="Times New Roman"/>
                <w:b w:val="0"/>
                <w:bCs w:val="0"/>
                <w:kern w:val="2"/>
                <w:sz w:val="21"/>
                <w:szCs w:val="21"/>
                <w:lang w:val="en-US" w:eastAsia="zh-CN" w:bidi="ar-SA"/>
              </w:rPr>
              <w:t>商务</w:t>
            </w:r>
          </w:p>
          <w:p w14:paraId="45C43D6A">
            <w:pPr>
              <w:spacing w:line="240" w:lineRule="exact"/>
              <w:jc w:val="center"/>
              <w:rPr>
                <w:rFonts w:hint="eastAsia" w:ascii="Calibri" w:hAnsi="Calibri" w:eastAsia="宋体" w:cs="Times New Roman"/>
                <w:b w:val="0"/>
                <w:bCs w:val="0"/>
                <w:kern w:val="2"/>
                <w:sz w:val="21"/>
                <w:szCs w:val="21"/>
                <w:lang w:val="en-US" w:eastAsia="zh-CN" w:bidi="ar-SA"/>
              </w:rPr>
            </w:pPr>
            <w:r>
              <w:rPr>
                <w:rFonts w:hint="eastAsia" w:ascii="Calibri" w:hAnsi="Calibri" w:eastAsia="宋体" w:cs="Times New Roman"/>
                <w:b w:val="0"/>
                <w:bCs w:val="0"/>
                <w:kern w:val="2"/>
                <w:sz w:val="21"/>
                <w:szCs w:val="21"/>
                <w:lang w:val="en-US" w:eastAsia="zh-CN" w:bidi="ar-SA"/>
              </w:rPr>
              <w:t>部分</w:t>
            </w:r>
          </w:p>
          <w:p w14:paraId="01E24828">
            <w:pPr>
              <w:pStyle w:val="2"/>
              <w:rPr>
                <w:rFonts w:hint="eastAsia" w:eastAsia="宋体" w:cs="Times New Roman"/>
                <w:sz w:val="21"/>
                <w:szCs w:val="21"/>
                <w:lang w:val="en-US" w:eastAsia="zh-CN"/>
              </w:rPr>
            </w:pPr>
            <w:r>
              <w:rPr>
                <w:rFonts w:hint="eastAsia" w:ascii="宋体" w:hAnsi="宋体" w:eastAsia="宋体" w:cs="Times New Roman"/>
                <w:kern w:val="2"/>
                <w:sz w:val="21"/>
                <w:szCs w:val="21"/>
                <w:lang w:val="en-US" w:eastAsia="zh-CN" w:bidi="ar-SA"/>
              </w:rPr>
              <w:t>（18分）</w:t>
            </w:r>
          </w:p>
        </w:tc>
        <w:tc>
          <w:tcPr>
            <w:tcW w:w="432" w:type="pct"/>
            <w:tcBorders>
              <w:top w:val="single" w:color="auto" w:sz="4" w:space="0"/>
              <w:left w:val="single" w:color="auto" w:sz="4" w:space="0"/>
              <w:right w:val="single" w:color="auto" w:sz="4" w:space="0"/>
            </w:tcBorders>
            <w:noWrap w:val="0"/>
            <w:vAlign w:val="center"/>
          </w:tcPr>
          <w:p w14:paraId="7A15867C">
            <w:pPr>
              <w:spacing w:line="240" w:lineRule="exact"/>
              <w:jc w:val="center"/>
              <w:rPr>
                <w:rFonts w:hint="eastAsia" w:ascii="Calibri" w:hAnsi="Calibri" w:eastAsia="宋体" w:cs="Times New Roman"/>
                <w:b w:val="0"/>
                <w:bCs w:val="0"/>
                <w:kern w:val="2"/>
                <w:sz w:val="21"/>
                <w:szCs w:val="21"/>
                <w:lang w:val="en-US" w:eastAsia="zh-CN" w:bidi="ar-SA"/>
              </w:rPr>
            </w:pPr>
            <w:r>
              <w:rPr>
                <w:rFonts w:hint="eastAsia" w:ascii="Calibri" w:hAnsi="Calibri" w:eastAsia="宋体" w:cs="Times New Roman"/>
                <w:b w:val="0"/>
                <w:bCs w:val="0"/>
                <w:kern w:val="2"/>
                <w:sz w:val="21"/>
                <w:szCs w:val="21"/>
                <w:lang w:val="en-US" w:eastAsia="zh-CN" w:bidi="ar-SA"/>
              </w:rPr>
              <w:t>类似</w:t>
            </w:r>
          </w:p>
          <w:p w14:paraId="167842E3">
            <w:pPr>
              <w:spacing w:line="240" w:lineRule="exact"/>
              <w:jc w:val="center"/>
              <w:rPr>
                <w:rFonts w:hint="eastAsia" w:ascii="Calibri" w:hAnsi="Calibri" w:eastAsia="宋体" w:cs="Times New Roman"/>
                <w:b w:val="0"/>
                <w:bCs w:val="0"/>
                <w:kern w:val="2"/>
                <w:sz w:val="21"/>
                <w:szCs w:val="21"/>
                <w:lang w:val="en-US" w:eastAsia="zh-CN" w:bidi="ar-SA"/>
              </w:rPr>
            </w:pPr>
            <w:r>
              <w:rPr>
                <w:rFonts w:hint="eastAsia" w:ascii="Calibri" w:hAnsi="Calibri" w:eastAsia="宋体" w:cs="Times New Roman"/>
                <w:b w:val="0"/>
                <w:bCs w:val="0"/>
                <w:kern w:val="2"/>
                <w:sz w:val="21"/>
                <w:szCs w:val="21"/>
                <w:lang w:val="en-US" w:eastAsia="zh-CN" w:bidi="ar-SA"/>
              </w:rPr>
              <w:t>业绩</w:t>
            </w:r>
          </w:p>
        </w:tc>
        <w:tc>
          <w:tcPr>
            <w:tcW w:w="359" w:type="pct"/>
            <w:tcBorders>
              <w:top w:val="single" w:color="auto" w:sz="4" w:space="0"/>
              <w:left w:val="single" w:color="auto" w:sz="4" w:space="0"/>
              <w:right w:val="single" w:color="auto" w:sz="4" w:space="0"/>
            </w:tcBorders>
            <w:noWrap w:val="0"/>
            <w:vAlign w:val="center"/>
          </w:tcPr>
          <w:p w14:paraId="63D1CED5">
            <w:pPr>
              <w:spacing w:line="240" w:lineRule="exact"/>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8</w:t>
            </w:r>
          </w:p>
        </w:tc>
        <w:tc>
          <w:tcPr>
            <w:tcW w:w="3303" w:type="pct"/>
            <w:tcBorders>
              <w:top w:val="single" w:color="auto" w:sz="4" w:space="0"/>
              <w:left w:val="single" w:color="auto" w:sz="4" w:space="0"/>
              <w:bottom w:val="single" w:color="auto" w:sz="4" w:space="0"/>
              <w:right w:val="single" w:color="auto" w:sz="4" w:space="0"/>
            </w:tcBorders>
            <w:noWrap w:val="0"/>
            <w:vAlign w:val="center"/>
          </w:tcPr>
          <w:p w14:paraId="6A02B4EE">
            <w:pPr>
              <w:spacing w:line="240" w:lineRule="auto"/>
              <w:jc w:val="both"/>
              <w:rPr>
                <w:rFonts w:hint="default" w:ascii="Calibri" w:hAnsi="Calibri" w:eastAsia="宋体" w:cs="Times New Roman"/>
                <w:b w:val="0"/>
                <w:bCs w:val="0"/>
                <w:kern w:val="2"/>
                <w:sz w:val="21"/>
                <w:szCs w:val="21"/>
                <w:lang w:val="en-US" w:eastAsia="zh-CN" w:bidi="ar-SA"/>
              </w:rPr>
            </w:pPr>
            <w:r>
              <w:rPr>
                <w:rFonts w:hint="default" w:ascii="Calibri" w:hAnsi="Calibri" w:eastAsia="宋体" w:cs="Times New Roman"/>
                <w:b w:val="0"/>
                <w:bCs w:val="0"/>
                <w:kern w:val="2"/>
                <w:sz w:val="21"/>
                <w:szCs w:val="21"/>
                <w:lang w:val="en-US" w:eastAsia="zh-CN" w:bidi="ar-SA"/>
              </w:rPr>
              <w:t>提供近</w:t>
            </w:r>
            <w:r>
              <w:rPr>
                <w:rFonts w:hint="eastAsia" w:eastAsia="宋体" w:cs="Times New Roman"/>
                <w:b w:val="0"/>
                <w:bCs w:val="0"/>
                <w:kern w:val="2"/>
                <w:sz w:val="21"/>
                <w:szCs w:val="21"/>
                <w:highlight w:val="none"/>
                <w:lang w:val="en-US" w:eastAsia="zh-CN" w:bidi="ar-SA"/>
              </w:rPr>
              <w:t>五</w:t>
            </w:r>
            <w:r>
              <w:rPr>
                <w:rFonts w:hint="default" w:ascii="Calibri" w:hAnsi="Calibri" w:eastAsia="宋体" w:cs="Times New Roman"/>
                <w:b w:val="0"/>
                <w:bCs w:val="0"/>
                <w:kern w:val="2"/>
                <w:sz w:val="21"/>
                <w:szCs w:val="21"/>
                <w:lang w:val="en-US" w:eastAsia="zh-CN" w:bidi="ar-SA"/>
              </w:rPr>
              <w:t>年（自投标截止之日前60个月内，以合同签订时间为准）承担过</w:t>
            </w:r>
            <w:r>
              <w:rPr>
                <w:rFonts w:hint="eastAsia" w:eastAsia="宋体" w:cs="Times New Roman"/>
                <w:b w:val="0"/>
                <w:bCs w:val="0"/>
                <w:kern w:val="2"/>
                <w:sz w:val="21"/>
                <w:szCs w:val="21"/>
                <w:lang w:val="en-US" w:eastAsia="zh-CN" w:bidi="ar-SA"/>
              </w:rPr>
              <w:t>的</w:t>
            </w:r>
            <w:r>
              <w:rPr>
                <w:rFonts w:hint="default" w:ascii="Calibri" w:hAnsi="Calibri" w:eastAsia="宋体" w:cs="Times New Roman"/>
                <w:b w:val="0"/>
                <w:bCs w:val="0"/>
                <w:kern w:val="2"/>
                <w:sz w:val="21"/>
                <w:szCs w:val="21"/>
                <w:lang w:val="en-US" w:eastAsia="zh-CN" w:bidi="ar-SA"/>
              </w:rPr>
              <w:t xml:space="preserve">类似项目业绩，每提供一个业绩证明材料得 </w:t>
            </w:r>
            <w:r>
              <w:rPr>
                <w:rFonts w:hint="eastAsia" w:eastAsia="宋体" w:cs="Times New Roman"/>
                <w:b w:val="0"/>
                <w:bCs w:val="0"/>
                <w:kern w:val="2"/>
                <w:sz w:val="21"/>
                <w:szCs w:val="21"/>
                <w:lang w:val="en-US" w:eastAsia="zh-CN" w:bidi="ar-SA"/>
              </w:rPr>
              <w:t>2</w:t>
            </w:r>
            <w:r>
              <w:rPr>
                <w:rFonts w:hint="default" w:ascii="Calibri" w:hAnsi="Calibri" w:eastAsia="宋体" w:cs="Times New Roman"/>
                <w:b w:val="0"/>
                <w:bCs w:val="0"/>
                <w:kern w:val="2"/>
                <w:sz w:val="21"/>
                <w:szCs w:val="21"/>
                <w:lang w:val="en-US" w:eastAsia="zh-CN" w:bidi="ar-SA"/>
              </w:rPr>
              <w:t xml:space="preserve"> 分，最高得 </w:t>
            </w:r>
            <w:r>
              <w:rPr>
                <w:rFonts w:hint="eastAsia" w:eastAsia="宋体" w:cs="Times New Roman"/>
                <w:b w:val="0"/>
                <w:bCs w:val="0"/>
                <w:kern w:val="2"/>
                <w:sz w:val="21"/>
                <w:szCs w:val="21"/>
                <w:lang w:val="en-US" w:eastAsia="zh-CN" w:bidi="ar-SA"/>
              </w:rPr>
              <w:t>8</w:t>
            </w:r>
            <w:r>
              <w:rPr>
                <w:rFonts w:hint="default" w:ascii="Calibri" w:hAnsi="Calibri" w:eastAsia="宋体" w:cs="Times New Roman"/>
                <w:b w:val="0"/>
                <w:bCs w:val="0"/>
                <w:kern w:val="2"/>
                <w:sz w:val="21"/>
                <w:szCs w:val="21"/>
                <w:lang w:val="en-US" w:eastAsia="zh-CN" w:bidi="ar-SA"/>
              </w:rPr>
              <w:t>分。（</w:t>
            </w:r>
            <w:r>
              <w:rPr>
                <w:rFonts w:hint="default" w:ascii="Calibri" w:hAnsi="Calibri" w:eastAsia="宋体" w:cs="Times New Roman"/>
                <w:b/>
                <w:bCs/>
                <w:kern w:val="2"/>
                <w:sz w:val="21"/>
                <w:szCs w:val="21"/>
                <w:lang w:val="en-US" w:eastAsia="zh-CN" w:bidi="ar-SA"/>
              </w:rPr>
              <w:t>需提供类似业绩合同复印件或扫描件</w:t>
            </w:r>
            <w:r>
              <w:rPr>
                <w:rFonts w:hint="eastAsia" w:eastAsia="宋体" w:cs="Times New Roman"/>
                <w:b/>
                <w:bCs/>
                <w:kern w:val="2"/>
                <w:sz w:val="21"/>
                <w:szCs w:val="21"/>
                <w:lang w:val="en-US" w:eastAsia="zh-CN" w:bidi="ar-SA"/>
              </w:rPr>
              <w:t>，并加盖公章</w:t>
            </w:r>
            <w:r>
              <w:rPr>
                <w:rFonts w:hint="default" w:ascii="Calibri" w:hAnsi="Calibri" w:eastAsia="宋体" w:cs="Times New Roman"/>
                <w:b/>
                <w:bCs/>
                <w:kern w:val="2"/>
                <w:sz w:val="21"/>
                <w:szCs w:val="21"/>
                <w:lang w:val="en-US" w:eastAsia="zh-CN" w:bidi="ar-SA"/>
              </w:rPr>
              <w:t>，如资料有误或内容不清晰或缺失的，该业绩材料不得分。</w:t>
            </w:r>
            <w:r>
              <w:rPr>
                <w:rFonts w:hint="default" w:ascii="Calibri" w:hAnsi="Calibri" w:eastAsia="宋体" w:cs="Times New Roman"/>
                <w:b w:val="0"/>
                <w:bCs w:val="0"/>
                <w:kern w:val="2"/>
                <w:sz w:val="21"/>
                <w:szCs w:val="21"/>
                <w:lang w:val="en-US" w:eastAsia="zh-CN" w:bidi="ar-SA"/>
              </w:rPr>
              <w:t>）</w:t>
            </w:r>
          </w:p>
        </w:tc>
      </w:tr>
      <w:tr w14:paraId="689B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48" w:type="pct"/>
            <w:vMerge w:val="continue"/>
            <w:tcBorders>
              <w:left w:val="single" w:color="auto" w:sz="4" w:space="0"/>
              <w:right w:val="single" w:color="auto" w:sz="4" w:space="0"/>
            </w:tcBorders>
            <w:noWrap w:val="0"/>
            <w:vAlign w:val="center"/>
          </w:tcPr>
          <w:p w14:paraId="566AE182">
            <w:pPr>
              <w:rPr>
                <w:rFonts w:ascii="宋体" w:hAnsi="宋体" w:eastAsia="宋体" w:cs="Times New Roman"/>
                <w:sz w:val="21"/>
                <w:szCs w:val="21"/>
              </w:rPr>
            </w:pPr>
          </w:p>
        </w:tc>
        <w:tc>
          <w:tcPr>
            <w:tcW w:w="557" w:type="pct"/>
            <w:vMerge w:val="continue"/>
            <w:tcBorders>
              <w:left w:val="single" w:color="auto" w:sz="4" w:space="0"/>
              <w:right w:val="single" w:color="auto" w:sz="4" w:space="0"/>
            </w:tcBorders>
            <w:noWrap w:val="0"/>
            <w:vAlign w:val="center"/>
          </w:tcPr>
          <w:p w14:paraId="0FE6A16B">
            <w:pPr>
              <w:spacing w:line="240" w:lineRule="exact"/>
              <w:rPr>
                <w:rFonts w:hint="eastAsia" w:ascii="Calibri" w:hAnsi="Calibri" w:eastAsia="宋体" w:cs="Times New Roman"/>
                <w:b w:val="0"/>
                <w:bCs w:val="0"/>
                <w:kern w:val="2"/>
                <w:sz w:val="21"/>
                <w:szCs w:val="21"/>
                <w:lang w:val="en-US" w:eastAsia="zh-CN" w:bidi="ar-SA"/>
              </w:rPr>
            </w:pPr>
          </w:p>
        </w:tc>
        <w:tc>
          <w:tcPr>
            <w:tcW w:w="432" w:type="pct"/>
            <w:tcBorders>
              <w:top w:val="single" w:color="auto" w:sz="4" w:space="0"/>
              <w:left w:val="single" w:color="auto" w:sz="4" w:space="0"/>
              <w:right w:val="single" w:color="auto" w:sz="4" w:space="0"/>
            </w:tcBorders>
            <w:noWrap w:val="0"/>
            <w:vAlign w:val="center"/>
          </w:tcPr>
          <w:p w14:paraId="60919358">
            <w:pPr>
              <w:keepNext w:val="0"/>
              <w:keepLines w:val="0"/>
              <w:widowControl/>
              <w:suppressLineNumbers w:val="0"/>
              <w:jc w:val="center"/>
              <w:rPr>
                <w:rFonts w:hint="default" w:ascii="Calibri" w:hAnsi="Calibri" w:eastAsia="宋体" w:cs="Times New Roman"/>
                <w:b w:val="0"/>
                <w:bCs w:val="0"/>
                <w:kern w:val="2"/>
                <w:sz w:val="21"/>
                <w:szCs w:val="21"/>
                <w:lang w:val="en-US" w:eastAsia="zh-CN" w:bidi="ar-SA"/>
              </w:rPr>
            </w:pPr>
            <w:r>
              <w:rPr>
                <w:rFonts w:hint="default" w:ascii="Calibri" w:hAnsi="Calibri" w:eastAsia="宋体" w:cs="Times New Roman"/>
                <w:b w:val="0"/>
                <w:bCs w:val="0"/>
                <w:kern w:val="2"/>
                <w:sz w:val="21"/>
                <w:szCs w:val="21"/>
                <w:lang w:val="en-US" w:eastAsia="zh-CN" w:bidi="ar-SA"/>
              </w:rPr>
              <w:t>偿付能力</w:t>
            </w:r>
          </w:p>
        </w:tc>
        <w:tc>
          <w:tcPr>
            <w:tcW w:w="359" w:type="pct"/>
            <w:tcBorders>
              <w:top w:val="single" w:color="auto" w:sz="4" w:space="0"/>
              <w:left w:val="single" w:color="auto" w:sz="4" w:space="0"/>
              <w:right w:val="single" w:color="auto" w:sz="4" w:space="0"/>
            </w:tcBorders>
            <w:noWrap w:val="0"/>
            <w:vAlign w:val="center"/>
          </w:tcPr>
          <w:p w14:paraId="2A533535">
            <w:pPr>
              <w:spacing w:line="240" w:lineRule="exact"/>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w:t>
            </w:r>
          </w:p>
        </w:tc>
        <w:tc>
          <w:tcPr>
            <w:tcW w:w="3303" w:type="pct"/>
            <w:tcBorders>
              <w:top w:val="single" w:color="auto" w:sz="4" w:space="0"/>
              <w:left w:val="single" w:color="auto" w:sz="4" w:space="0"/>
              <w:bottom w:val="single" w:color="auto" w:sz="4" w:space="0"/>
              <w:right w:val="single" w:color="auto" w:sz="4" w:space="0"/>
            </w:tcBorders>
            <w:noWrap w:val="0"/>
            <w:vAlign w:val="center"/>
          </w:tcPr>
          <w:p w14:paraId="6DEFCE1A">
            <w:pPr>
              <w:numPr>
                <w:ilvl w:val="0"/>
                <w:numId w:val="1"/>
              </w:numPr>
              <w:spacing w:line="240" w:lineRule="auto"/>
              <w:jc w:val="both"/>
              <w:rPr>
                <w:rFonts w:hint="eastAsia" w:ascii="Calibri" w:hAnsi="Calibri" w:eastAsia="宋体" w:cs="Times New Roman"/>
                <w:b w:val="0"/>
                <w:bCs w:val="0"/>
                <w:kern w:val="2"/>
                <w:sz w:val="21"/>
                <w:szCs w:val="21"/>
                <w:lang w:val="en-US" w:eastAsia="zh-CN" w:bidi="ar-SA"/>
              </w:rPr>
            </w:pPr>
            <w:r>
              <w:rPr>
                <w:rFonts w:hint="eastAsia" w:ascii="Calibri" w:hAnsi="Calibri" w:eastAsia="宋体" w:cs="Times New Roman"/>
                <w:b w:val="0"/>
                <w:bCs w:val="0"/>
                <w:kern w:val="2"/>
                <w:sz w:val="21"/>
                <w:szCs w:val="21"/>
                <w:lang w:val="en-US" w:eastAsia="zh-CN" w:bidi="ar-SA"/>
              </w:rPr>
              <w:t>综合偿付能力充足率：300%及以上得</w:t>
            </w:r>
            <w:r>
              <w:rPr>
                <w:rFonts w:hint="eastAsia" w:eastAsia="宋体" w:cs="Times New Roman"/>
                <w:b w:val="0"/>
                <w:bCs w:val="0"/>
                <w:kern w:val="2"/>
                <w:sz w:val="21"/>
                <w:szCs w:val="21"/>
                <w:lang w:val="en-US" w:eastAsia="zh-CN" w:bidi="ar-SA"/>
              </w:rPr>
              <w:t>3</w:t>
            </w:r>
            <w:r>
              <w:rPr>
                <w:rFonts w:hint="eastAsia" w:ascii="Calibri" w:hAnsi="Calibri" w:eastAsia="宋体" w:cs="Times New Roman"/>
                <w:b w:val="0"/>
                <w:bCs w:val="0"/>
                <w:kern w:val="2"/>
                <w:sz w:val="21"/>
                <w:szCs w:val="21"/>
                <w:lang w:val="en-US" w:eastAsia="zh-CN" w:bidi="ar-SA"/>
              </w:rPr>
              <w:t>分；200%（含）至300%（不含）得</w:t>
            </w:r>
            <w:r>
              <w:rPr>
                <w:rFonts w:hint="eastAsia" w:eastAsia="宋体" w:cs="Times New Roman"/>
                <w:b w:val="0"/>
                <w:bCs w:val="0"/>
                <w:kern w:val="2"/>
                <w:sz w:val="21"/>
                <w:szCs w:val="21"/>
                <w:lang w:val="en-US" w:eastAsia="zh-CN" w:bidi="ar-SA"/>
              </w:rPr>
              <w:t>2</w:t>
            </w:r>
            <w:r>
              <w:rPr>
                <w:rFonts w:hint="eastAsia" w:ascii="Calibri" w:hAnsi="Calibri" w:eastAsia="宋体" w:cs="Times New Roman"/>
                <w:b w:val="0"/>
                <w:bCs w:val="0"/>
                <w:kern w:val="2"/>
                <w:sz w:val="21"/>
                <w:szCs w:val="21"/>
                <w:lang w:val="en-US" w:eastAsia="zh-CN" w:bidi="ar-SA"/>
              </w:rPr>
              <w:t>分；150%（含）至200%（不含）得</w:t>
            </w:r>
            <w:r>
              <w:rPr>
                <w:rFonts w:hint="eastAsia" w:eastAsia="宋体" w:cs="Times New Roman"/>
                <w:b w:val="0"/>
                <w:bCs w:val="0"/>
                <w:kern w:val="2"/>
                <w:sz w:val="21"/>
                <w:szCs w:val="21"/>
                <w:lang w:val="en-US" w:eastAsia="zh-CN" w:bidi="ar-SA"/>
              </w:rPr>
              <w:t>1</w:t>
            </w:r>
            <w:r>
              <w:rPr>
                <w:rFonts w:hint="eastAsia" w:ascii="Calibri" w:hAnsi="Calibri" w:eastAsia="宋体" w:cs="Times New Roman"/>
                <w:b w:val="0"/>
                <w:bCs w:val="0"/>
                <w:kern w:val="2"/>
                <w:sz w:val="21"/>
                <w:szCs w:val="21"/>
                <w:lang w:val="en-US" w:eastAsia="zh-CN" w:bidi="ar-SA"/>
              </w:rPr>
              <w:t>分；100%（含）至150%（不含）得</w:t>
            </w:r>
            <w:r>
              <w:rPr>
                <w:rFonts w:hint="eastAsia" w:eastAsia="宋体" w:cs="Times New Roman"/>
                <w:b w:val="0"/>
                <w:bCs w:val="0"/>
                <w:kern w:val="2"/>
                <w:sz w:val="21"/>
                <w:szCs w:val="21"/>
                <w:lang w:val="en-US" w:eastAsia="zh-CN" w:bidi="ar-SA"/>
              </w:rPr>
              <w:t>0.5</w:t>
            </w:r>
            <w:r>
              <w:rPr>
                <w:rFonts w:hint="eastAsia" w:ascii="Calibri" w:hAnsi="Calibri" w:eastAsia="宋体" w:cs="Times New Roman"/>
                <w:b w:val="0"/>
                <w:bCs w:val="0"/>
                <w:kern w:val="2"/>
                <w:sz w:val="21"/>
                <w:szCs w:val="21"/>
                <w:lang w:val="en-US" w:eastAsia="zh-CN" w:bidi="ar-SA"/>
              </w:rPr>
              <w:t>分；100%（不含）以下不得分</w:t>
            </w:r>
            <w:r>
              <w:rPr>
                <w:rFonts w:hint="eastAsia" w:eastAsia="宋体" w:cs="Times New Roman"/>
                <w:b w:val="0"/>
                <w:bCs w:val="0"/>
                <w:kern w:val="2"/>
                <w:sz w:val="21"/>
                <w:szCs w:val="21"/>
                <w:lang w:val="en-US" w:eastAsia="zh-CN" w:bidi="ar-SA"/>
              </w:rPr>
              <w:t>。</w:t>
            </w:r>
          </w:p>
          <w:p w14:paraId="0AE01006">
            <w:pPr>
              <w:numPr>
                <w:ilvl w:val="0"/>
                <w:numId w:val="0"/>
              </w:numPr>
              <w:spacing w:line="240" w:lineRule="auto"/>
              <w:jc w:val="both"/>
              <w:rPr>
                <w:rFonts w:hint="eastAsia" w:ascii="Calibri" w:hAnsi="Calibri" w:eastAsia="宋体" w:cs="Times New Roman"/>
                <w:b w:val="0"/>
                <w:bCs w:val="0"/>
                <w:kern w:val="2"/>
                <w:sz w:val="21"/>
                <w:szCs w:val="21"/>
                <w:lang w:val="en-US" w:eastAsia="zh-CN" w:bidi="ar-SA"/>
              </w:rPr>
            </w:pPr>
            <w:r>
              <w:rPr>
                <w:rFonts w:hint="eastAsia" w:ascii="Calibri" w:hAnsi="Calibri" w:eastAsia="宋体" w:cs="Times New Roman"/>
                <w:b w:val="0"/>
                <w:bCs w:val="0"/>
                <w:kern w:val="2"/>
                <w:sz w:val="21"/>
                <w:szCs w:val="21"/>
                <w:lang w:val="en-US" w:eastAsia="zh-CN" w:bidi="ar-SA"/>
              </w:rPr>
              <w:t>注：需要提供公司 202</w:t>
            </w:r>
            <w:r>
              <w:rPr>
                <w:rFonts w:hint="eastAsia" w:eastAsia="宋体" w:cs="Times New Roman"/>
                <w:b w:val="0"/>
                <w:bCs w:val="0"/>
                <w:kern w:val="2"/>
                <w:sz w:val="21"/>
                <w:szCs w:val="21"/>
                <w:lang w:val="en-US" w:eastAsia="zh-CN" w:bidi="ar-SA"/>
              </w:rPr>
              <w:t>5</w:t>
            </w:r>
            <w:r>
              <w:rPr>
                <w:rFonts w:hint="eastAsia" w:ascii="Calibri" w:hAnsi="Calibri" w:eastAsia="宋体" w:cs="Times New Roman"/>
                <w:b w:val="0"/>
                <w:bCs w:val="0"/>
                <w:kern w:val="2"/>
                <w:sz w:val="21"/>
                <w:szCs w:val="21"/>
                <w:lang w:val="en-US" w:eastAsia="zh-CN" w:bidi="ar-SA"/>
              </w:rPr>
              <w:t xml:space="preserve"> 年度第四季度偿付能力报告，并附有公司公章和国家金融监督管理总局官网发布的最新数据材料，并附有公司公章。</w:t>
            </w:r>
          </w:p>
          <w:p w14:paraId="5273C61E">
            <w:pPr>
              <w:numPr>
                <w:ilvl w:val="0"/>
                <w:numId w:val="1"/>
              </w:numPr>
              <w:spacing w:line="240" w:lineRule="auto"/>
              <w:ind w:left="0" w:leftChars="0" w:firstLine="0" w:firstLineChars="0"/>
              <w:jc w:val="both"/>
              <w:rPr>
                <w:rFonts w:hint="eastAsia" w:ascii="Calibri" w:hAnsi="Calibri" w:eastAsia="宋体" w:cs="Times New Roman"/>
                <w:b w:val="0"/>
                <w:bCs w:val="0"/>
                <w:kern w:val="2"/>
                <w:sz w:val="21"/>
                <w:szCs w:val="21"/>
                <w:lang w:val="en-US" w:eastAsia="zh-CN" w:bidi="ar-SA"/>
              </w:rPr>
            </w:pPr>
            <w:r>
              <w:rPr>
                <w:rFonts w:hint="eastAsia" w:ascii="Calibri" w:hAnsi="Calibri" w:eastAsia="宋体" w:cs="Times New Roman"/>
                <w:b w:val="0"/>
                <w:bCs w:val="0"/>
                <w:kern w:val="2"/>
                <w:sz w:val="21"/>
                <w:szCs w:val="21"/>
                <w:lang w:val="en-US" w:eastAsia="zh-CN" w:bidi="ar-SA"/>
              </w:rPr>
              <w:t>保险风险综合评级：A 级得</w:t>
            </w:r>
            <w:r>
              <w:rPr>
                <w:rFonts w:hint="eastAsia" w:eastAsia="宋体" w:cs="Times New Roman"/>
                <w:b w:val="0"/>
                <w:bCs w:val="0"/>
                <w:kern w:val="2"/>
                <w:sz w:val="21"/>
                <w:szCs w:val="21"/>
                <w:lang w:val="en-US" w:eastAsia="zh-CN" w:bidi="ar-SA"/>
              </w:rPr>
              <w:t>2</w:t>
            </w:r>
            <w:r>
              <w:rPr>
                <w:rFonts w:hint="eastAsia" w:ascii="Calibri" w:hAnsi="Calibri" w:eastAsia="宋体" w:cs="Times New Roman"/>
                <w:b w:val="0"/>
                <w:bCs w:val="0"/>
                <w:kern w:val="2"/>
                <w:sz w:val="21"/>
                <w:szCs w:val="21"/>
                <w:lang w:val="en-US" w:eastAsia="zh-CN" w:bidi="ar-SA"/>
              </w:rPr>
              <w:t>分</w:t>
            </w:r>
            <w:r>
              <w:rPr>
                <w:rFonts w:hint="eastAsia" w:eastAsia="宋体" w:cs="Times New Roman"/>
                <w:b w:val="0"/>
                <w:bCs w:val="0"/>
                <w:kern w:val="2"/>
                <w:sz w:val="21"/>
                <w:szCs w:val="21"/>
                <w:lang w:val="en-US" w:eastAsia="zh-CN" w:bidi="ar-SA"/>
              </w:rPr>
              <w:t>，</w:t>
            </w:r>
            <w:r>
              <w:rPr>
                <w:rFonts w:hint="eastAsia" w:ascii="Calibri" w:hAnsi="Calibri" w:eastAsia="宋体" w:cs="Times New Roman"/>
                <w:b w:val="0"/>
                <w:bCs w:val="0"/>
                <w:kern w:val="2"/>
                <w:sz w:val="21"/>
                <w:szCs w:val="21"/>
                <w:lang w:val="en-US" w:eastAsia="zh-CN" w:bidi="ar-SA"/>
              </w:rPr>
              <w:t>B 级得</w:t>
            </w:r>
            <w:r>
              <w:rPr>
                <w:rFonts w:hint="eastAsia" w:eastAsia="宋体" w:cs="Times New Roman"/>
                <w:b w:val="0"/>
                <w:bCs w:val="0"/>
                <w:kern w:val="2"/>
                <w:sz w:val="21"/>
                <w:szCs w:val="21"/>
                <w:lang w:val="en-US" w:eastAsia="zh-CN" w:bidi="ar-SA"/>
              </w:rPr>
              <w:t>1</w:t>
            </w:r>
            <w:r>
              <w:rPr>
                <w:rFonts w:hint="eastAsia" w:ascii="Calibri" w:hAnsi="Calibri" w:eastAsia="宋体" w:cs="Times New Roman"/>
                <w:b w:val="0"/>
                <w:bCs w:val="0"/>
                <w:kern w:val="2"/>
                <w:sz w:val="21"/>
                <w:szCs w:val="21"/>
                <w:lang w:val="en-US" w:eastAsia="zh-CN" w:bidi="ar-SA"/>
              </w:rPr>
              <w:t>分，C 级得</w:t>
            </w:r>
            <w:r>
              <w:rPr>
                <w:rFonts w:hint="eastAsia" w:eastAsia="宋体" w:cs="Times New Roman"/>
                <w:b w:val="0"/>
                <w:bCs w:val="0"/>
                <w:kern w:val="2"/>
                <w:sz w:val="21"/>
                <w:szCs w:val="21"/>
                <w:lang w:val="en-US" w:eastAsia="zh-CN" w:bidi="ar-SA"/>
              </w:rPr>
              <w:t>0.5</w:t>
            </w:r>
            <w:r>
              <w:rPr>
                <w:rFonts w:hint="eastAsia" w:ascii="Calibri" w:hAnsi="Calibri" w:eastAsia="宋体" w:cs="Times New Roman"/>
                <w:b w:val="0"/>
                <w:bCs w:val="0"/>
                <w:kern w:val="2"/>
                <w:sz w:val="21"/>
                <w:szCs w:val="21"/>
                <w:lang w:val="en-US" w:eastAsia="zh-CN" w:bidi="ar-SA"/>
              </w:rPr>
              <w:t>分</w:t>
            </w:r>
            <w:r>
              <w:rPr>
                <w:rFonts w:hint="eastAsia" w:eastAsia="宋体" w:cs="Times New Roman"/>
                <w:b w:val="0"/>
                <w:bCs w:val="0"/>
                <w:kern w:val="2"/>
                <w:sz w:val="21"/>
                <w:szCs w:val="21"/>
                <w:lang w:val="en-US" w:eastAsia="zh-CN" w:bidi="ar-SA"/>
              </w:rPr>
              <w:t>。</w:t>
            </w:r>
          </w:p>
          <w:p w14:paraId="326218DD">
            <w:pPr>
              <w:numPr>
                <w:ilvl w:val="0"/>
                <w:numId w:val="0"/>
              </w:numPr>
              <w:spacing w:line="240" w:lineRule="auto"/>
              <w:ind w:leftChars="0"/>
              <w:jc w:val="both"/>
              <w:rPr>
                <w:rFonts w:hint="eastAsia" w:ascii="Calibri" w:hAnsi="Calibri" w:eastAsia="宋体" w:cs="Times New Roman"/>
                <w:b w:val="0"/>
                <w:bCs w:val="0"/>
                <w:kern w:val="2"/>
                <w:sz w:val="21"/>
                <w:szCs w:val="21"/>
                <w:lang w:val="en-US" w:eastAsia="zh-CN" w:bidi="ar-SA"/>
              </w:rPr>
            </w:pPr>
            <w:r>
              <w:rPr>
                <w:rFonts w:hint="eastAsia" w:ascii="Calibri" w:hAnsi="Calibri" w:eastAsia="宋体" w:cs="Times New Roman"/>
                <w:b w:val="0"/>
                <w:bCs w:val="0"/>
                <w:kern w:val="2"/>
                <w:sz w:val="21"/>
                <w:szCs w:val="21"/>
                <w:lang w:val="en-US" w:eastAsia="zh-CN" w:bidi="ar-SA"/>
              </w:rPr>
              <w:t>提供国家金融监管总局偿付能力监管信息系统相关截图并加盖供应商公章作为评分依据。</w:t>
            </w:r>
          </w:p>
          <w:p w14:paraId="280EA53A">
            <w:pPr>
              <w:numPr>
                <w:ilvl w:val="0"/>
                <w:numId w:val="1"/>
              </w:numPr>
              <w:spacing w:line="240" w:lineRule="auto"/>
              <w:ind w:left="0" w:leftChars="0" w:firstLine="0" w:firstLineChars="0"/>
              <w:jc w:val="both"/>
              <w:rPr>
                <w:rFonts w:hint="eastAsia" w:ascii="Calibri" w:hAnsi="Calibri" w:eastAsia="宋体" w:cs="Times New Roman"/>
                <w:b w:val="0"/>
                <w:bCs w:val="0"/>
                <w:kern w:val="2"/>
                <w:sz w:val="21"/>
                <w:szCs w:val="21"/>
                <w:lang w:val="en-US" w:eastAsia="zh-CN" w:bidi="ar-SA"/>
              </w:rPr>
            </w:pPr>
            <w:r>
              <w:rPr>
                <w:rFonts w:hint="eastAsia" w:ascii="Calibri" w:hAnsi="Calibri" w:eastAsia="宋体" w:cs="Times New Roman"/>
                <w:b w:val="0"/>
                <w:bCs w:val="0"/>
                <w:kern w:val="2"/>
                <w:sz w:val="21"/>
                <w:szCs w:val="21"/>
                <w:lang w:val="en-US" w:eastAsia="zh-CN" w:bidi="ar-SA"/>
              </w:rPr>
              <w:t>中债信用评级：AAA级得</w:t>
            </w:r>
            <w:r>
              <w:rPr>
                <w:rFonts w:hint="eastAsia" w:eastAsia="宋体" w:cs="Times New Roman"/>
                <w:b w:val="0"/>
                <w:bCs w:val="0"/>
                <w:kern w:val="2"/>
                <w:sz w:val="21"/>
                <w:szCs w:val="21"/>
                <w:lang w:val="en-US" w:eastAsia="zh-CN" w:bidi="ar-SA"/>
              </w:rPr>
              <w:t>2</w:t>
            </w:r>
            <w:r>
              <w:rPr>
                <w:rFonts w:hint="eastAsia" w:ascii="Calibri" w:hAnsi="Calibri" w:eastAsia="宋体" w:cs="Times New Roman"/>
                <w:b w:val="0"/>
                <w:bCs w:val="0"/>
                <w:kern w:val="2"/>
                <w:sz w:val="21"/>
                <w:szCs w:val="21"/>
                <w:lang w:val="en-US" w:eastAsia="zh-CN" w:bidi="ar-SA"/>
              </w:rPr>
              <w:t>分，AA级得</w:t>
            </w:r>
            <w:r>
              <w:rPr>
                <w:rFonts w:hint="eastAsia" w:eastAsia="宋体" w:cs="Times New Roman"/>
                <w:b w:val="0"/>
                <w:bCs w:val="0"/>
                <w:kern w:val="2"/>
                <w:sz w:val="21"/>
                <w:szCs w:val="21"/>
                <w:lang w:val="en-US" w:eastAsia="zh-CN" w:bidi="ar-SA"/>
              </w:rPr>
              <w:t>1</w:t>
            </w:r>
            <w:r>
              <w:rPr>
                <w:rFonts w:hint="eastAsia" w:ascii="Calibri" w:hAnsi="Calibri" w:eastAsia="宋体" w:cs="Times New Roman"/>
                <w:b w:val="0"/>
                <w:bCs w:val="0"/>
                <w:kern w:val="2"/>
                <w:sz w:val="21"/>
                <w:szCs w:val="21"/>
                <w:lang w:val="en-US" w:eastAsia="zh-CN" w:bidi="ar-SA"/>
              </w:rPr>
              <w:t>分，A级得</w:t>
            </w:r>
            <w:r>
              <w:rPr>
                <w:rFonts w:hint="eastAsia" w:eastAsia="宋体" w:cs="Times New Roman"/>
                <w:b w:val="0"/>
                <w:bCs w:val="0"/>
                <w:kern w:val="2"/>
                <w:sz w:val="21"/>
                <w:szCs w:val="21"/>
                <w:lang w:val="en-US" w:eastAsia="zh-CN" w:bidi="ar-SA"/>
              </w:rPr>
              <w:t>0.5</w:t>
            </w:r>
            <w:r>
              <w:rPr>
                <w:rFonts w:hint="eastAsia" w:ascii="Calibri" w:hAnsi="Calibri" w:eastAsia="宋体" w:cs="Times New Roman"/>
                <w:b w:val="0"/>
                <w:bCs w:val="0"/>
                <w:kern w:val="2"/>
                <w:sz w:val="21"/>
                <w:szCs w:val="21"/>
                <w:lang w:val="en-US" w:eastAsia="zh-CN" w:bidi="ar-SA"/>
              </w:rPr>
              <w:t>分。</w:t>
            </w:r>
          </w:p>
          <w:p w14:paraId="408F03A2">
            <w:pPr>
              <w:numPr>
                <w:ilvl w:val="0"/>
                <w:numId w:val="0"/>
              </w:numPr>
              <w:spacing w:line="240" w:lineRule="auto"/>
              <w:ind w:leftChars="0"/>
              <w:jc w:val="both"/>
              <w:rPr>
                <w:rFonts w:hint="default" w:ascii="Calibri" w:hAnsi="Calibri" w:eastAsia="宋体" w:cs="Times New Roman"/>
                <w:b w:val="0"/>
                <w:bCs w:val="0"/>
                <w:kern w:val="2"/>
                <w:sz w:val="21"/>
                <w:szCs w:val="21"/>
                <w:lang w:val="en-US" w:eastAsia="zh-CN" w:bidi="ar-SA"/>
              </w:rPr>
            </w:pPr>
            <w:r>
              <w:rPr>
                <w:rFonts w:hint="eastAsia" w:eastAsia="宋体" w:cs="Times New Roman"/>
                <w:b w:val="0"/>
                <w:bCs w:val="0"/>
                <w:kern w:val="2"/>
                <w:sz w:val="21"/>
                <w:szCs w:val="21"/>
                <w:lang w:val="en-US" w:eastAsia="zh-CN" w:bidi="ar-SA"/>
              </w:rPr>
              <w:t>提供相关证明资料</w:t>
            </w:r>
            <w:r>
              <w:rPr>
                <w:rFonts w:hint="eastAsia" w:ascii="Calibri" w:hAnsi="Calibri" w:eastAsia="宋体" w:cs="Times New Roman"/>
                <w:b w:val="0"/>
                <w:bCs w:val="0"/>
                <w:kern w:val="2"/>
                <w:sz w:val="21"/>
                <w:szCs w:val="21"/>
                <w:lang w:val="en-US" w:eastAsia="zh-CN" w:bidi="ar-SA"/>
              </w:rPr>
              <w:t>加盖供应商公章作为评分依据。</w:t>
            </w:r>
          </w:p>
        </w:tc>
      </w:tr>
      <w:tr w14:paraId="426F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48" w:type="pct"/>
            <w:vMerge w:val="continue"/>
            <w:tcBorders>
              <w:left w:val="single" w:color="auto" w:sz="4" w:space="0"/>
              <w:right w:val="single" w:color="auto" w:sz="4" w:space="0"/>
            </w:tcBorders>
            <w:noWrap w:val="0"/>
            <w:vAlign w:val="center"/>
          </w:tcPr>
          <w:p w14:paraId="7A5E07A3">
            <w:pPr>
              <w:rPr>
                <w:rFonts w:ascii="宋体" w:hAnsi="宋体" w:eastAsia="宋体" w:cs="Times New Roman"/>
                <w:sz w:val="21"/>
                <w:szCs w:val="21"/>
              </w:rPr>
            </w:pPr>
          </w:p>
        </w:tc>
        <w:tc>
          <w:tcPr>
            <w:tcW w:w="557" w:type="pct"/>
            <w:vMerge w:val="continue"/>
            <w:tcBorders>
              <w:left w:val="single" w:color="auto" w:sz="4" w:space="0"/>
              <w:right w:val="single" w:color="auto" w:sz="4" w:space="0"/>
            </w:tcBorders>
            <w:noWrap w:val="0"/>
            <w:vAlign w:val="center"/>
          </w:tcPr>
          <w:p w14:paraId="7295E336">
            <w:pPr>
              <w:spacing w:line="240" w:lineRule="exact"/>
              <w:rPr>
                <w:rFonts w:hint="eastAsia" w:ascii="Calibri" w:hAnsi="Calibri" w:eastAsia="宋体" w:cs="Times New Roman"/>
                <w:b w:val="0"/>
                <w:bCs w:val="0"/>
                <w:kern w:val="2"/>
                <w:sz w:val="21"/>
                <w:szCs w:val="21"/>
                <w:lang w:val="en-US" w:eastAsia="zh-CN" w:bidi="ar-SA"/>
              </w:rPr>
            </w:pPr>
          </w:p>
        </w:tc>
        <w:tc>
          <w:tcPr>
            <w:tcW w:w="432" w:type="pct"/>
            <w:tcBorders>
              <w:top w:val="single" w:color="auto" w:sz="4" w:space="0"/>
              <w:left w:val="single" w:color="auto" w:sz="4" w:space="0"/>
              <w:right w:val="single" w:color="auto" w:sz="4" w:space="0"/>
            </w:tcBorders>
            <w:noWrap w:val="0"/>
            <w:vAlign w:val="center"/>
          </w:tcPr>
          <w:p w14:paraId="485C3C74">
            <w:pPr>
              <w:jc w:val="center"/>
              <w:rPr>
                <w:rFonts w:hint="default" w:ascii="Calibri" w:hAnsi="Calibri" w:eastAsia="宋体" w:cs="Times New Roman"/>
                <w:b w:val="0"/>
                <w:bCs w:val="0"/>
                <w:kern w:val="2"/>
                <w:sz w:val="21"/>
                <w:szCs w:val="21"/>
                <w:lang w:val="en-US" w:eastAsia="zh-CN" w:bidi="ar-SA"/>
              </w:rPr>
            </w:pPr>
            <w:r>
              <w:rPr>
                <w:rFonts w:hint="default" w:ascii="Calibri" w:hAnsi="Calibri" w:eastAsia="宋体" w:cs="Times New Roman"/>
                <w:b w:val="0"/>
                <w:bCs w:val="0"/>
                <w:kern w:val="2"/>
                <w:sz w:val="21"/>
                <w:szCs w:val="21"/>
                <w:lang w:val="en-US" w:eastAsia="zh-CN" w:bidi="ar-SA"/>
              </w:rPr>
              <w:t>人员配备</w:t>
            </w:r>
          </w:p>
        </w:tc>
        <w:tc>
          <w:tcPr>
            <w:tcW w:w="359" w:type="pct"/>
            <w:tcBorders>
              <w:top w:val="single" w:color="auto" w:sz="4" w:space="0"/>
              <w:left w:val="single" w:color="auto" w:sz="4" w:space="0"/>
              <w:right w:val="single" w:color="auto" w:sz="4" w:space="0"/>
            </w:tcBorders>
            <w:noWrap w:val="0"/>
            <w:vAlign w:val="center"/>
          </w:tcPr>
          <w:p w14:paraId="1140F092">
            <w:pPr>
              <w:spacing w:line="240" w:lineRule="exact"/>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w:t>
            </w:r>
          </w:p>
        </w:tc>
        <w:tc>
          <w:tcPr>
            <w:tcW w:w="3303" w:type="pct"/>
            <w:tcBorders>
              <w:top w:val="single" w:color="auto" w:sz="4" w:space="0"/>
              <w:left w:val="single" w:color="auto" w:sz="4" w:space="0"/>
              <w:bottom w:val="single" w:color="auto" w:sz="4" w:space="0"/>
              <w:right w:val="single" w:color="auto" w:sz="4" w:space="0"/>
            </w:tcBorders>
            <w:noWrap w:val="0"/>
            <w:vAlign w:val="center"/>
          </w:tcPr>
          <w:p w14:paraId="24ACD032">
            <w:pPr>
              <w:numPr>
                <w:ilvl w:val="0"/>
                <w:numId w:val="0"/>
              </w:numPr>
              <w:spacing w:line="240" w:lineRule="auto"/>
              <w:ind w:left="0" w:leftChars="0" w:firstLine="0" w:firstLineChars="0"/>
              <w:jc w:val="both"/>
              <w:rPr>
                <w:rFonts w:hint="eastAsia" w:ascii="宋体" w:hAnsi="宋体" w:eastAsia="宋体" w:cs="宋体"/>
                <w:kern w:val="2"/>
                <w:sz w:val="21"/>
                <w:szCs w:val="21"/>
                <w:lang w:val="en-US" w:eastAsia="zh-CN" w:bidi="ar-SA"/>
              </w:rPr>
            </w:pPr>
            <w:r>
              <w:rPr>
                <w:rFonts w:hint="eastAsia" w:ascii="Calibri" w:hAnsi="宋体" w:eastAsia="宋体" w:cs="Cambria"/>
                <w:sz w:val="21"/>
                <w:szCs w:val="21"/>
              </w:rPr>
              <w:t>三类人员（投保专员、报案专员、理赔专员）每配备</w:t>
            </w:r>
            <w:r>
              <w:rPr>
                <w:rFonts w:ascii="Calibri" w:hAnsi="宋体" w:eastAsia="宋体" w:cs="Cambria"/>
                <w:sz w:val="21"/>
                <w:szCs w:val="21"/>
              </w:rPr>
              <w:t>1</w:t>
            </w:r>
            <w:r>
              <w:rPr>
                <w:rFonts w:hint="eastAsia" w:ascii="Calibri" w:hAnsi="宋体" w:eastAsia="宋体" w:cs="Cambria"/>
                <w:sz w:val="21"/>
                <w:szCs w:val="21"/>
              </w:rPr>
              <w:t>类人员得</w:t>
            </w:r>
            <w:r>
              <w:rPr>
                <w:rFonts w:ascii="Calibri" w:hAnsi="宋体" w:eastAsia="宋体" w:cs="Cambria"/>
                <w:sz w:val="21"/>
                <w:szCs w:val="21"/>
              </w:rPr>
              <w:t>1</w:t>
            </w:r>
            <w:r>
              <w:rPr>
                <w:rFonts w:hint="eastAsia" w:ascii="Calibri" w:hAnsi="宋体" w:eastAsia="宋体" w:cs="Cambria"/>
                <w:sz w:val="21"/>
                <w:szCs w:val="21"/>
              </w:rPr>
              <w:t>分，最高得</w:t>
            </w:r>
            <w:r>
              <w:rPr>
                <w:rFonts w:ascii="Calibri" w:hAnsi="宋体" w:eastAsia="宋体" w:cs="Cambria"/>
                <w:sz w:val="21"/>
                <w:szCs w:val="21"/>
              </w:rPr>
              <w:t>3</w:t>
            </w:r>
            <w:r>
              <w:rPr>
                <w:rFonts w:hint="eastAsia" w:ascii="Calibri" w:hAnsi="宋体" w:eastAsia="宋体" w:cs="Cambria"/>
                <w:sz w:val="21"/>
                <w:szCs w:val="21"/>
              </w:rPr>
              <w:t>分。提供人员名单及分工。</w:t>
            </w:r>
          </w:p>
        </w:tc>
      </w:tr>
      <w:tr w14:paraId="5106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48" w:type="pct"/>
            <w:vMerge w:val="restart"/>
            <w:tcBorders>
              <w:left w:val="single" w:color="auto" w:sz="4" w:space="0"/>
              <w:right w:val="single" w:color="auto" w:sz="4" w:space="0"/>
            </w:tcBorders>
            <w:noWrap w:val="0"/>
            <w:vAlign w:val="center"/>
          </w:tcPr>
          <w:p w14:paraId="0E158E7E">
            <w:pPr>
              <w:jc w:val="center"/>
              <w:rPr>
                <w:rFonts w:hint="eastAsia" w:ascii="宋体" w:hAnsi="宋体" w:eastAsia="宋体" w:cs="Times New Roman"/>
                <w:sz w:val="21"/>
                <w:szCs w:val="21"/>
              </w:rPr>
            </w:pPr>
            <w:r>
              <w:rPr>
                <w:rFonts w:hint="eastAsia" w:ascii="宋体" w:hAnsi="宋体" w:eastAsia="宋体" w:cs="Times New Roman"/>
                <w:sz w:val="21"/>
                <w:szCs w:val="21"/>
              </w:rPr>
              <w:t>3</w:t>
            </w:r>
          </w:p>
        </w:tc>
        <w:tc>
          <w:tcPr>
            <w:tcW w:w="557" w:type="pct"/>
            <w:vMerge w:val="restart"/>
            <w:tcBorders>
              <w:left w:val="single" w:color="auto" w:sz="4" w:space="0"/>
              <w:right w:val="single" w:color="auto" w:sz="4" w:space="0"/>
            </w:tcBorders>
            <w:noWrap w:val="0"/>
            <w:vAlign w:val="center"/>
          </w:tcPr>
          <w:p w14:paraId="36C7408F">
            <w:pPr>
              <w:jc w:val="center"/>
              <w:rPr>
                <w:rFonts w:hint="eastAsia" w:ascii="宋体" w:hAnsi="宋体" w:eastAsia="宋体" w:cs="Times New Roman"/>
                <w:sz w:val="21"/>
                <w:szCs w:val="21"/>
              </w:rPr>
            </w:pPr>
            <w:r>
              <w:rPr>
                <w:rFonts w:hint="eastAsia" w:ascii="宋体" w:hAnsi="宋体" w:eastAsia="宋体" w:cs="Times New Roman"/>
                <w:sz w:val="21"/>
                <w:szCs w:val="21"/>
              </w:rPr>
              <w:t>技术</w:t>
            </w:r>
          </w:p>
          <w:p w14:paraId="1C7CF4D4">
            <w:pPr>
              <w:jc w:val="center"/>
              <w:rPr>
                <w:rFonts w:hint="eastAsia" w:ascii="宋体" w:hAnsi="宋体" w:eastAsia="宋体" w:cs="Times New Roman"/>
                <w:sz w:val="21"/>
                <w:szCs w:val="21"/>
              </w:rPr>
            </w:pPr>
            <w:r>
              <w:rPr>
                <w:rFonts w:hint="eastAsia" w:ascii="宋体" w:hAnsi="宋体" w:eastAsia="宋体" w:cs="Times New Roman"/>
                <w:sz w:val="21"/>
                <w:szCs w:val="21"/>
              </w:rPr>
              <w:t>部分</w:t>
            </w:r>
          </w:p>
          <w:p w14:paraId="37F476FE">
            <w:pPr>
              <w:jc w:val="center"/>
              <w:rPr>
                <w:rFonts w:hint="eastAsia" w:ascii="宋体" w:hAnsi="宋体" w:eastAsia="宋体" w:cs="Times New Roman"/>
                <w:sz w:val="21"/>
                <w:szCs w:val="21"/>
              </w:rPr>
            </w:pP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62</w:t>
            </w:r>
            <w:r>
              <w:rPr>
                <w:rFonts w:hint="eastAsia" w:ascii="宋体" w:hAnsi="宋体" w:eastAsia="宋体" w:cs="Times New Roman"/>
                <w:sz w:val="21"/>
                <w:szCs w:val="21"/>
              </w:rPr>
              <w:t>分）</w:t>
            </w:r>
          </w:p>
        </w:tc>
        <w:tc>
          <w:tcPr>
            <w:tcW w:w="432" w:type="pct"/>
            <w:tcBorders>
              <w:top w:val="single" w:color="auto" w:sz="4" w:space="0"/>
              <w:left w:val="single" w:color="auto" w:sz="4" w:space="0"/>
              <w:right w:val="single" w:color="auto" w:sz="4" w:space="0"/>
            </w:tcBorders>
            <w:noWrap w:val="0"/>
            <w:vAlign w:val="center"/>
          </w:tcPr>
          <w:p w14:paraId="04A53481">
            <w:pPr>
              <w:jc w:val="center"/>
              <w:rPr>
                <w:rFonts w:hint="default" w:ascii="Calibri" w:hAnsi="Calibri" w:eastAsia="宋体" w:cs="Times New Roman"/>
                <w:b w:val="0"/>
                <w:bCs w:val="0"/>
                <w:kern w:val="2"/>
                <w:sz w:val="21"/>
                <w:szCs w:val="21"/>
                <w:lang w:val="en-US" w:eastAsia="zh-CN" w:bidi="ar-SA"/>
              </w:rPr>
            </w:pPr>
            <w:r>
              <w:rPr>
                <w:rFonts w:hint="default" w:ascii="Calibri" w:hAnsi="Calibri" w:eastAsia="宋体" w:cs="Times New Roman"/>
                <w:b w:val="0"/>
                <w:bCs w:val="0"/>
                <w:kern w:val="2"/>
                <w:sz w:val="21"/>
                <w:szCs w:val="21"/>
                <w:lang w:val="en-US" w:eastAsia="zh-CN" w:bidi="ar-SA"/>
              </w:rPr>
              <w:t>接报案服务方案</w:t>
            </w:r>
          </w:p>
        </w:tc>
        <w:tc>
          <w:tcPr>
            <w:tcW w:w="359" w:type="pct"/>
            <w:tcBorders>
              <w:top w:val="single" w:color="auto" w:sz="4" w:space="0"/>
              <w:left w:val="single" w:color="auto" w:sz="4" w:space="0"/>
              <w:right w:val="single" w:color="auto" w:sz="4" w:space="0"/>
            </w:tcBorders>
            <w:noWrap w:val="0"/>
            <w:vAlign w:val="center"/>
          </w:tcPr>
          <w:p w14:paraId="5FF28121">
            <w:pPr>
              <w:spacing w:line="240" w:lineRule="exact"/>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20</w:t>
            </w:r>
          </w:p>
        </w:tc>
        <w:tc>
          <w:tcPr>
            <w:tcW w:w="3303" w:type="pct"/>
            <w:tcBorders>
              <w:top w:val="single" w:color="auto" w:sz="4" w:space="0"/>
              <w:left w:val="single" w:color="auto" w:sz="4" w:space="0"/>
              <w:bottom w:val="single" w:color="auto" w:sz="4" w:space="0"/>
              <w:right w:val="single" w:color="auto" w:sz="4" w:space="0"/>
            </w:tcBorders>
            <w:noWrap w:val="0"/>
            <w:vAlign w:val="center"/>
          </w:tcPr>
          <w:p w14:paraId="5F8A7205">
            <w:pPr>
              <w:widowControl w:val="0"/>
              <w:kinsoku w:val="0"/>
              <w:autoSpaceDE w:val="0"/>
              <w:autoSpaceDN w:val="0"/>
              <w:adjustRightInd w:val="0"/>
              <w:snapToGrid w:val="0"/>
              <w:spacing w:line="320" w:lineRule="exact"/>
              <w:jc w:val="both"/>
              <w:textAlignment w:val="baseline"/>
              <w:rPr>
                <w:rFonts w:ascii="宋体" w:hAnsi="宋体" w:eastAsia="宋体" w:cs="Calibri Light"/>
                <w:sz w:val="21"/>
                <w:szCs w:val="21"/>
              </w:rPr>
            </w:pPr>
            <w:r>
              <w:rPr>
                <w:rFonts w:hint="eastAsia" w:ascii="宋体" w:hAnsi="宋体" w:eastAsia="宋体" w:cs="Calibri Light"/>
                <w:sz w:val="21"/>
                <w:szCs w:val="21"/>
              </w:rPr>
              <w:t>提供</w:t>
            </w:r>
            <w:r>
              <w:rPr>
                <w:rFonts w:ascii="宋体" w:hAnsi="宋体" w:eastAsia="宋体" w:cs="Calibri Light"/>
                <w:sz w:val="21"/>
                <w:szCs w:val="21"/>
              </w:rPr>
              <w:t>针对本项目的</w:t>
            </w:r>
            <w:r>
              <w:rPr>
                <w:rFonts w:hint="eastAsia" w:ascii="宋体" w:hAnsi="宋体" w:eastAsia="宋体" w:cs="Calibri Light"/>
                <w:sz w:val="21"/>
                <w:szCs w:val="21"/>
                <w:lang w:val="en-US" w:eastAsia="zh-CN"/>
              </w:rPr>
              <w:t>接报案服务方案</w:t>
            </w:r>
            <w:r>
              <w:rPr>
                <w:rFonts w:ascii="宋体" w:hAnsi="宋体" w:eastAsia="宋体" w:cs="Calibri Light"/>
                <w:sz w:val="21"/>
                <w:szCs w:val="21"/>
              </w:rPr>
              <w:t>，内容</w:t>
            </w:r>
            <w:r>
              <w:rPr>
                <w:rFonts w:hint="eastAsia" w:ascii="宋体" w:hAnsi="宋体" w:eastAsia="宋体" w:cs="Calibri Light"/>
                <w:sz w:val="21"/>
                <w:szCs w:val="21"/>
              </w:rPr>
              <w:t>包括①服务工作流程及标准</w:t>
            </w:r>
            <w:r>
              <w:rPr>
                <w:rFonts w:hint="eastAsia" w:ascii="宋体" w:hAnsi="宋体" w:eastAsia="宋体" w:cs="Calibri Light"/>
                <w:sz w:val="21"/>
                <w:szCs w:val="21"/>
                <w:lang w:eastAsia="zh-CN"/>
              </w:rPr>
              <w:t>；</w:t>
            </w:r>
            <w:r>
              <w:rPr>
                <w:rFonts w:hint="eastAsia" w:ascii="宋体" w:hAnsi="宋体" w:eastAsia="宋体" w:cs="Calibri Light"/>
                <w:sz w:val="21"/>
                <w:szCs w:val="21"/>
              </w:rPr>
              <w:t>②出险响应时间及措施</w:t>
            </w:r>
            <w:r>
              <w:rPr>
                <w:rFonts w:hint="eastAsia" w:ascii="宋体" w:hAnsi="宋体" w:eastAsia="宋体" w:cs="Calibri Light"/>
                <w:sz w:val="21"/>
                <w:szCs w:val="21"/>
                <w:lang w:eastAsia="zh-CN"/>
              </w:rPr>
              <w:t>；</w:t>
            </w:r>
            <w:r>
              <w:rPr>
                <w:rFonts w:hint="eastAsia" w:ascii="宋体" w:hAnsi="宋体" w:eastAsia="宋体" w:cs="Calibri Light"/>
                <w:sz w:val="21"/>
                <w:szCs w:val="21"/>
              </w:rPr>
              <w:t>③接报案的应急处置方法</w:t>
            </w:r>
            <w:r>
              <w:rPr>
                <w:rFonts w:hint="eastAsia" w:ascii="宋体" w:hAnsi="宋体" w:eastAsia="宋体" w:cs="Calibri Light"/>
                <w:sz w:val="21"/>
                <w:szCs w:val="21"/>
                <w:lang w:eastAsia="zh-CN"/>
              </w:rPr>
              <w:t>；</w:t>
            </w:r>
            <w:r>
              <w:rPr>
                <w:rFonts w:hint="eastAsia" w:ascii="宋体" w:hAnsi="宋体" w:eastAsia="宋体" w:cs="Calibri Light"/>
                <w:sz w:val="21"/>
                <w:szCs w:val="21"/>
              </w:rPr>
              <w:t>④沟通协调机制等内容。</w:t>
            </w:r>
          </w:p>
          <w:p w14:paraId="122F15DC">
            <w:pPr>
              <w:numPr>
                <w:ilvl w:val="0"/>
                <w:numId w:val="0"/>
              </w:num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评审标准:</w:t>
            </w:r>
          </w:p>
          <w:p w14:paraId="571A1D98">
            <w:pPr>
              <w:numPr>
                <w:ilvl w:val="0"/>
                <w:numId w:val="0"/>
              </w:num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(1)完整性:方案完整,内容全面，且切合本项目实际情况；(2)合理性:符合项目具体情况，提出的思路、措施及内容，合理恰当；(3)针对性:方案理解深刻、分析透彻且解决方案的清晰描述准确。</w:t>
            </w:r>
          </w:p>
          <w:p w14:paraId="191CA7F5">
            <w:pPr>
              <w:numPr>
                <w:ilvl w:val="0"/>
                <w:numId w:val="0"/>
              </w:numPr>
              <w:spacing w:line="240" w:lineRule="auto"/>
              <w:ind w:left="0" w:leftChars="0" w:firstLine="0" w:firstLineChars="0"/>
              <w:jc w:val="both"/>
              <w:rPr>
                <w:rFonts w:hint="default" w:ascii="宋体" w:hAnsi="宋体" w:eastAsia="宋体" w:cs="宋体"/>
                <w:kern w:val="2"/>
                <w:sz w:val="21"/>
                <w:szCs w:val="21"/>
                <w:lang w:val="en-US" w:eastAsia="zh-CN" w:bidi="ar-SA"/>
              </w:rPr>
            </w:pPr>
            <w:r>
              <w:rPr>
                <w:rFonts w:hint="eastAsia" w:ascii="宋体" w:hAnsi="宋体" w:eastAsia="宋体" w:cs="宋体"/>
                <w:sz w:val="21"/>
                <w:szCs w:val="21"/>
                <w:lang w:eastAsia="zh-CN"/>
              </w:rPr>
              <w:t>根据评审标准对上述</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项评审内容进行打分:每项评审内容完全满足得</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分，基本满足得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分，其他情况不得分。</w:t>
            </w:r>
          </w:p>
        </w:tc>
      </w:tr>
      <w:tr w14:paraId="68EC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8" w:type="pct"/>
            <w:vMerge w:val="continue"/>
            <w:tcBorders>
              <w:left w:val="single" w:color="auto" w:sz="4" w:space="0"/>
              <w:right w:val="single" w:color="auto" w:sz="4" w:space="0"/>
            </w:tcBorders>
            <w:noWrap w:val="0"/>
            <w:vAlign w:val="center"/>
          </w:tcPr>
          <w:p w14:paraId="5A752453">
            <w:pPr>
              <w:jc w:val="center"/>
              <w:rPr>
                <w:rFonts w:hint="eastAsia" w:ascii="宋体" w:hAnsi="宋体" w:eastAsia="宋体" w:cs="Times New Roman"/>
                <w:sz w:val="21"/>
                <w:szCs w:val="21"/>
              </w:rPr>
            </w:pPr>
          </w:p>
        </w:tc>
        <w:tc>
          <w:tcPr>
            <w:tcW w:w="557" w:type="pct"/>
            <w:vMerge w:val="continue"/>
            <w:tcBorders>
              <w:left w:val="single" w:color="auto" w:sz="4" w:space="0"/>
              <w:right w:val="single" w:color="auto" w:sz="4" w:space="0"/>
            </w:tcBorders>
            <w:noWrap w:val="0"/>
            <w:vAlign w:val="center"/>
          </w:tcPr>
          <w:p w14:paraId="6B917368">
            <w:pPr>
              <w:jc w:val="center"/>
              <w:rPr>
                <w:rFonts w:hint="eastAsia" w:ascii="宋体" w:hAnsi="宋体" w:eastAsia="宋体" w:cs="Times New Roman"/>
                <w:sz w:val="21"/>
                <w:szCs w:val="21"/>
              </w:rPr>
            </w:pPr>
          </w:p>
        </w:tc>
        <w:tc>
          <w:tcPr>
            <w:tcW w:w="432" w:type="pct"/>
            <w:tcBorders>
              <w:left w:val="single" w:color="auto" w:sz="4" w:space="0"/>
              <w:right w:val="single" w:color="auto" w:sz="4" w:space="0"/>
            </w:tcBorders>
            <w:noWrap w:val="0"/>
            <w:vAlign w:val="center"/>
          </w:tcPr>
          <w:p w14:paraId="279E8F12">
            <w:pPr>
              <w:jc w:val="center"/>
              <w:rPr>
                <w:rFonts w:hint="eastAsia" w:eastAsia="宋体" w:cs="Times New Roman"/>
                <w:b w:val="0"/>
                <w:bCs w:val="0"/>
                <w:kern w:val="2"/>
                <w:sz w:val="21"/>
                <w:szCs w:val="21"/>
                <w:lang w:val="en-US" w:eastAsia="zh-CN" w:bidi="ar-SA"/>
              </w:rPr>
            </w:pPr>
            <w:r>
              <w:rPr>
                <w:rFonts w:hint="eastAsia" w:eastAsia="宋体" w:cs="Times New Roman"/>
                <w:b w:val="0"/>
                <w:bCs w:val="0"/>
                <w:kern w:val="2"/>
                <w:sz w:val="21"/>
                <w:szCs w:val="21"/>
                <w:lang w:val="en-US" w:eastAsia="zh-CN" w:bidi="ar-SA"/>
              </w:rPr>
              <w:t>现场查勘服务方案</w:t>
            </w:r>
          </w:p>
        </w:tc>
        <w:tc>
          <w:tcPr>
            <w:tcW w:w="359" w:type="pct"/>
            <w:tcBorders>
              <w:top w:val="single" w:color="auto" w:sz="4" w:space="0"/>
              <w:left w:val="single" w:color="auto" w:sz="4" w:space="0"/>
              <w:bottom w:val="single" w:color="auto" w:sz="4" w:space="0"/>
              <w:right w:val="single" w:color="auto" w:sz="4" w:space="0"/>
            </w:tcBorders>
            <w:noWrap w:val="0"/>
            <w:vAlign w:val="center"/>
          </w:tcPr>
          <w:p w14:paraId="11B15D0E">
            <w:pPr>
              <w:spacing w:line="240" w:lineRule="exact"/>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w:t>
            </w:r>
          </w:p>
        </w:tc>
        <w:tc>
          <w:tcPr>
            <w:tcW w:w="3303" w:type="pct"/>
            <w:tcBorders>
              <w:top w:val="single" w:color="auto" w:sz="4" w:space="0"/>
              <w:left w:val="single" w:color="auto" w:sz="4" w:space="0"/>
              <w:bottom w:val="single" w:color="auto" w:sz="4" w:space="0"/>
              <w:right w:val="single" w:color="auto" w:sz="4" w:space="0"/>
            </w:tcBorders>
            <w:noWrap w:val="0"/>
            <w:vAlign w:val="center"/>
          </w:tcPr>
          <w:p w14:paraId="6F924C51">
            <w:pPr>
              <w:spacing w:line="240" w:lineRule="auto"/>
              <w:jc w:val="both"/>
              <w:rPr>
                <w:rFonts w:hint="eastAsia" w:ascii="宋体" w:hAnsi="宋体" w:eastAsia="宋体" w:cs="宋体"/>
                <w:sz w:val="21"/>
                <w:szCs w:val="21"/>
                <w:lang w:eastAsia="zh-CN"/>
              </w:rPr>
            </w:pPr>
            <w:r>
              <w:rPr>
                <w:rFonts w:hint="eastAsia" w:ascii="宋体" w:hAnsi="宋体" w:eastAsia="宋体" w:cs="Calibri Light"/>
                <w:sz w:val="21"/>
                <w:szCs w:val="21"/>
              </w:rPr>
              <w:t>提供</w:t>
            </w:r>
            <w:r>
              <w:rPr>
                <w:rFonts w:ascii="宋体" w:hAnsi="宋体" w:eastAsia="宋体" w:cs="Calibri Light"/>
                <w:sz w:val="21"/>
                <w:szCs w:val="21"/>
              </w:rPr>
              <w:t>针对本项目的</w:t>
            </w:r>
            <w:r>
              <w:rPr>
                <w:rFonts w:hint="eastAsia" w:eastAsia="宋体" w:cs="Times New Roman"/>
                <w:b w:val="0"/>
                <w:bCs w:val="0"/>
                <w:kern w:val="2"/>
                <w:sz w:val="21"/>
                <w:szCs w:val="21"/>
                <w:lang w:val="en-US" w:eastAsia="zh-CN" w:bidi="ar-SA"/>
              </w:rPr>
              <w:t>现场查勘服务方案</w:t>
            </w:r>
            <w:r>
              <w:rPr>
                <w:rFonts w:ascii="宋体" w:hAnsi="宋体" w:eastAsia="宋体" w:cs="Calibri Light"/>
                <w:sz w:val="21"/>
                <w:szCs w:val="21"/>
              </w:rPr>
              <w:t>，内容</w:t>
            </w:r>
            <w:r>
              <w:rPr>
                <w:rFonts w:hint="eastAsia" w:ascii="宋体" w:hAnsi="宋体" w:eastAsia="宋体" w:cs="Calibri Light"/>
                <w:sz w:val="21"/>
                <w:szCs w:val="21"/>
              </w:rPr>
              <w:t>包括①</w:t>
            </w:r>
            <w:r>
              <w:rPr>
                <w:rFonts w:hint="eastAsia" w:ascii="宋体" w:hAnsi="宋体" w:eastAsia="宋体" w:cs="宋体"/>
                <w:sz w:val="21"/>
                <w:szCs w:val="21"/>
                <w:lang w:eastAsia="zh-CN"/>
              </w:rPr>
              <w:t>服务响应时间；</w:t>
            </w:r>
            <w:r>
              <w:rPr>
                <w:rFonts w:hint="eastAsia" w:ascii="宋体" w:hAnsi="宋体" w:eastAsia="宋体" w:cs="Calibri Light"/>
                <w:sz w:val="21"/>
                <w:szCs w:val="21"/>
              </w:rPr>
              <w:t>②</w:t>
            </w:r>
            <w:r>
              <w:rPr>
                <w:rFonts w:hint="eastAsia" w:ascii="宋体" w:hAnsi="宋体" w:eastAsia="宋体" w:cs="宋体"/>
                <w:sz w:val="21"/>
                <w:szCs w:val="21"/>
                <w:lang w:eastAsia="zh-CN"/>
              </w:rPr>
              <w:t>查勘现场的临场应变能力。</w:t>
            </w:r>
          </w:p>
          <w:p w14:paraId="71271D8E">
            <w:pPr>
              <w:numPr>
                <w:ilvl w:val="0"/>
                <w:numId w:val="0"/>
              </w:num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评审标准:</w:t>
            </w:r>
          </w:p>
          <w:p w14:paraId="690E3AAE">
            <w:pPr>
              <w:numPr>
                <w:ilvl w:val="0"/>
                <w:numId w:val="0"/>
              </w:num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(1)完整性:方案完整,内容全面，且切合本项目实际情况；(2)合理性:符合项目具体情况，提出的思路、措施及内容，合理恰当；(3)针对性:方案理解深刻、分析透彻且解决方案的清晰描述准确。</w:t>
            </w:r>
          </w:p>
          <w:p w14:paraId="3A5380A1">
            <w:p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根据评审标准对上述</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项评审内容进行打分:每项评审内容完全满足得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分，基本满足得</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分，其他情况不得分。</w:t>
            </w:r>
          </w:p>
        </w:tc>
      </w:tr>
      <w:tr w14:paraId="1AEE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8" w:type="pct"/>
            <w:vMerge w:val="continue"/>
            <w:tcBorders>
              <w:left w:val="single" w:color="auto" w:sz="4" w:space="0"/>
              <w:right w:val="single" w:color="auto" w:sz="4" w:space="0"/>
            </w:tcBorders>
            <w:noWrap w:val="0"/>
            <w:vAlign w:val="center"/>
          </w:tcPr>
          <w:p w14:paraId="45D88D9D">
            <w:pPr>
              <w:jc w:val="center"/>
              <w:rPr>
                <w:rFonts w:hint="eastAsia" w:ascii="宋体" w:hAnsi="宋体" w:eastAsia="宋体" w:cs="Times New Roman"/>
                <w:sz w:val="21"/>
                <w:szCs w:val="21"/>
              </w:rPr>
            </w:pPr>
          </w:p>
        </w:tc>
        <w:tc>
          <w:tcPr>
            <w:tcW w:w="557" w:type="pct"/>
            <w:vMerge w:val="continue"/>
            <w:tcBorders>
              <w:left w:val="single" w:color="auto" w:sz="4" w:space="0"/>
              <w:right w:val="single" w:color="auto" w:sz="4" w:space="0"/>
            </w:tcBorders>
            <w:noWrap w:val="0"/>
            <w:vAlign w:val="center"/>
          </w:tcPr>
          <w:p w14:paraId="2CEE3812">
            <w:pPr>
              <w:jc w:val="center"/>
              <w:rPr>
                <w:rFonts w:hint="eastAsia" w:ascii="宋体" w:hAnsi="宋体" w:eastAsia="宋体" w:cs="Times New Roman"/>
                <w:sz w:val="21"/>
                <w:szCs w:val="21"/>
              </w:rPr>
            </w:pPr>
          </w:p>
        </w:tc>
        <w:tc>
          <w:tcPr>
            <w:tcW w:w="432" w:type="pct"/>
            <w:tcBorders>
              <w:left w:val="single" w:color="auto" w:sz="4" w:space="0"/>
              <w:right w:val="single" w:color="auto" w:sz="4" w:space="0"/>
            </w:tcBorders>
            <w:noWrap w:val="0"/>
            <w:vAlign w:val="center"/>
          </w:tcPr>
          <w:p w14:paraId="5F4468B4">
            <w:pPr>
              <w:jc w:val="center"/>
              <w:rPr>
                <w:rFonts w:hint="eastAsia" w:eastAsia="宋体" w:cs="Times New Roman"/>
                <w:b w:val="0"/>
                <w:bCs w:val="0"/>
                <w:kern w:val="2"/>
                <w:sz w:val="21"/>
                <w:szCs w:val="21"/>
                <w:lang w:val="en-US" w:eastAsia="zh-CN" w:bidi="ar-SA"/>
              </w:rPr>
            </w:pPr>
            <w:r>
              <w:rPr>
                <w:rFonts w:hint="eastAsia" w:eastAsia="宋体" w:cs="Times New Roman"/>
                <w:b w:val="0"/>
                <w:bCs w:val="0"/>
                <w:kern w:val="2"/>
                <w:sz w:val="21"/>
                <w:szCs w:val="21"/>
                <w:lang w:val="en-US" w:eastAsia="zh-CN" w:bidi="ar-SA"/>
              </w:rPr>
              <w:t>定责定损服务方案</w:t>
            </w:r>
          </w:p>
        </w:tc>
        <w:tc>
          <w:tcPr>
            <w:tcW w:w="359" w:type="pct"/>
            <w:tcBorders>
              <w:top w:val="single" w:color="auto" w:sz="4" w:space="0"/>
              <w:left w:val="single" w:color="auto" w:sz="4" w:space="0"/>
              <w:bottom w:val="single" w:color="auto" w:sz="4" w:space="0"/>
              <w:right w:val="single" w:color="auto" w:sz="4" w:space="0"/>
            </w:tcBorders>
            <w:noWrap w:val="0"/>
            <w:vAlign w:val="center"/>
          </w:tcPr>
          <w:p w14:paraId="74F1D725">
            <w:pPr>
              <w:spacing w:line="240" w:lineRule="exact"/>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w:t>
            </w:r>
          </w:p>
        </w:tc>
        <w:tc>
          <w:tcPr>
            <w:tcW w:w="3303" w:type="pct"/>
            <w:tcBorders>
              <w:top w:val="single" w:color="auto" w:sz="4" w:space="0"/>
              <w:left w:val="single" w:color="auto" w:sz="4" w:space="0"/>
              <w:bottom w:val="single" w:color="auto" w:sz="4" w:space="0"/>
              <w:right w:val="single" w:color="auto" w:sz="4" w:space="0"/>
            </w:tcBorders>
            <w:noWrap w:val="0"/>
            <w:vAlign w:val="center"/>
          </w:tcPr>
          <w:p w14:paraId="3272E3CE">
            <w:pPr>
              <w:spacing w:line="240" w:lineRule="auto"/>
              <w:jc w:val="both"/>
              <w:rPr>
                <w:rFonts w:hint="eastAsia" w:ascii="宋体" w:hAnsi="宋体" w:eastAsia="宋体" w:cs="宋体"/>
                <w:sz w:val="21"/>
                <w:szCs w:val="21"/>
                <w:lang w:eastAsia="zh-CN"/>
              </w:rPr>
            </w:pPr>
            <w:r>
              <w:rPr>
                <w:rFonts w:hint="eastAsia" w:ascii="宋体" w:hAnsi="宋体" w:eastAsia="宋体" w:cs="Calibri Light"/>
                <w:sz w:val="21"/>
                <w:szCs w:val="21"/>
              </w:rPr>
              <w:t>提供</w:t>
            </w:r>
            <w:r>
              <w:rPr>
                <w:rFonts w:ascii="宋体" w:hAnsi="宋体" w:eastAsia="宋体" w:cs="Calibri Light"/>
                <w:sz w:val="21"/>
                <w:szCs w:val="21"/>
              </w:rPr>
              <w:t>针对本项目的</w:t>
            </w:r>
            <w:r>
              <w:rPr>
                <w:rFonts w:hint="eastAsia" w:eastAsia="宋体" w:cs="Times New Roman"/>
                <w:b w:val="0"/>
                <w:bCs w:val="0"/>
                <w:kern w:val="2"/>
                <w:sz w:val="21"/>
                <w:szCs w:val="21"/>
                <w:lang w:val="en-US" w:eastAsia="zh-CN" w:bidi="ar-SA"/>
              </w:rPr>
              <w:t>定责定损服务方案</w:t>
            </w:r>
            <w:r>
              <w:rPr>
                <w:rFonts w:ascii="宋体" w:hAnsi="宋体" w:eastAsia="宋体" w:cs="Calibri Light"/>
                <w:sz w:val="21"/>
                <w:szCs w:val="21"/>
              </w:rPr>
              <w:t>，内容</w:t>
            </w:r>
            <w:r>
              <w:rPr>
                <w:rFonts w:hint="eastAsia" w:ascii="宋体" w:hAnsi="宋体" w:eastAsia="宋体" w:cs="Calibri Light"/>
                <w:sz w:val="21"/>
                <w:szCs w:val="21"/>
              </w:rPr>
              <w:t>包括①</w:t>
            </w:r>
            <w:r>
              <w:rPr>
                <w:rFonts w:hint="eastAsia" w:ascii="宋体" w:hAnsi="宋体" w:eastAsia="宋体" w:cs="宋体"/>
                <w:sz w:val="21"/>
                <w:szCs w:val="21"/>
                <w:lang w:eastAsia="zh-CN"/>
              </w:rPr>
              <w:t>理赔单证收集方案；</w:t>
            </w:r>
            <w:r>
              <w:rPr>
                <w:rFonts w:hint="eastAsia" w:ascii="宋体" w:hAnsi="宋体" w:eastAsia="宋体" w:cs="Calibri Light"/>
                <w:sz w:val="21"/>
                <w:szCs w:val="21"/>
              </w:rPr>
              <w:t>②</w:t>
            </w:r>
            <w:r>
              <w:rPr>
                <w:rFonts w:hint="eastAsia" w:ascii="宋体" w:hAnsi="宋体" w:eastAsia="宋体" w:cs="宋体"/>
                <w:sz w:val="21"/>
                <w:szCs w:val="21"/>
                <w:lang w:eastAsia="zh-CN"/>
              </w:rPr>
              <w:t>定损的时效性。</w:t>
            </w:r>
          </w:p>
          <w:p w14:paraId="55434657">
            <w:pPr>
              <w:numPr>
                <w:ilvl w:val="0"/>
                <w:numId w:val="0"/>
              </w:num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评审标准:</w:t>
            </w:r>
          </w:p>
          <w:p w14:paraId="42FE7E52">
            <w:pPr>
              <w:numPr>
                <w:ilvl w:val="0"/>
                <w:numId w:val="0"/>
              </w:num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(1)完整性:方案完整,内容全面，且切合本项目实际情况；(2)合理性:符合项目具体情况，提出的思路、措施及内容，合理恰当；(3)针对性:方案理解深刻、分析透彻且解决方案的清晰描述准确。</w:t>
            </w:r>
          </w:p>
          <w:p w14:paraId="29644559">
            <w:p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根据评审标准对上述</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项评审内容进行打分:每项评审内容完全满足得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分，基本满足得</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分，其他情况不得分。</w:t>
            </w:r>
          </w:p>
        </w:tc>
      </w:tr>
      <w:tr w14:paraId="5DFF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8" w:type="pct"/>
            <w:vMerge w:val="continue"/>
            <w:tcBorders>
              <w:left w:val="single" w:color="auto" w:sz="4" w:space="0"/>
              <w:right w:val="single" w:color="auto" w:sz="4" w:space="0"/>
            </w:tcBorders>
            <w:noWrap w:val="0"/>
            <w:vAlign w:val="center"/>
          </w:tcPr>
          <w:p w14:paraId="37452EB4">
            <w:pPr>
              <w:jc w:val="center"/>
              <w:rPr>
                <w:rFonts w:hint="eastAsia" w:ascii="宋体" w:hAnsi="宋体" w:eastAsia="宋体" w:cs="Times New Roman"/>
                <w:sz w:val="21"/>
                <w:szCs w:val="21"/>
              </w:rPr>
            </w:pPr>
          </w:p>
        </w:tc>
        <w:tc>
          <w:tcPr>
            <w:tcW w:w="557" w:type="pct"/>
            <w:vMerge w:val="continue"/>
            <w:tcBorders>
              <w:left w:val="single" w:color="auto" w:sz="4" w:space="0"/>
              <w:right w:val="single" w:color="auto" w:sz="4" w:space="0"/>
            </w:tcBorders>
            <w:noWrap w:val="0"/>
            <w:vAlign w:val="center"/>
          </w:tcPr>
          <w:p w14:paraId="45E31F9A">
            <w:pPr>
              <w:jc w:val="center"/>
              <w:rPr>
                <w:rFonts w:hint="eastAsia" w:ascii="宋体" w:hAnsi="宋体" w:eastAsia="宋体" w:cs="Times New Roman"/>
                <w:sz w:val="21"/>
                <w:szCs w:val="21"/>
              </w:rPr>
            </w:pPr>
          </w:p>
        </w:tc>
        <w:tc>
          <w:tcPr>
            <w:tcW w:w="432" w:type="pct"/>
            <w:tcBorders>
              <w:left w:val="single" w:color="auto" w:sz="4" w:space="0"/>
              <w:right w:val="single" w:color="auto" w:sz="4" w:space="0"/>
            </w:tcBorders>
            <w:noWrap w:val="0"/>
            <w:vAlign w:val="center"/>
          </w:tcPr>
          <w:p w14:paraId="5CF64539">
            <w:pPr>
              <w:jc w:val="center"/>
              <w:rPr>
                <w:rFonts w:hint="eastAsia" w:eastAsia="宋体" w:cs="Times New Roman"/>
                <w:b w:val="0"/>
                <w:bCs w:val="0"/>
                <w:kern w:val="2"/>
                <w:sz w:val="21"/>
                <w:szCs w:val="21"/>
                <w:lang w:val="en-US" w:eastAsia="zh-CN" w:bidi="ar-SA"/>
              </w:rPr>
            </w:pPr>
            <w:r>
              <w:rPr>
                <w:rFonts w:hint="eastAsia" w:eastAsia="宋体" w:cs="Times New Roman"/>
                <w:b w:val="0"/>
                <w:bCs w:val="0"/>
                <w:kern w:val="2"/>
                <w:sz w:val="21"/>
                <w:szCs w:val="21"/>
                <w:lang w:val="en-US" w:eastAsia="zh-CN" w:bidi="ar-SA"/>
              </w:rPr>
              <w:t>赔付服务方案</w:t>
            </w:r>
          </w:p>
        </w:tc>
        <w:tc>
          <w:tcPr>
            <w:tcW w:w="359" w:type="pct"/>
            <w:tcBorders>
              <w:top w:val="single" w:color="auto" w:sz="4" w:space="0"/>
              <w:left w:val="single" w:color="auto" w:sz="4" w:space="0"/>
              <w:bottom w:val="single" w:color="auto" w:sz="4" w:space="0"/>
              <w:right w:val="single" w:color="auto" w:sz="4" w:space="0"/>
            </w:tcBorders>
            <w:noWrap w:val="0"/>
            <w:vAlign w:val="center"/>
          </w:tcPr>
          <w:p w14:paraId="6450C23E">
            <w:pPr>
              <w:spacing w:line="240" w:lineRule="exact"/>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9</w:t>
            </w:r>
          </w:p>
        </w:tc>
        <w:tc>
          <w:tcPr>
            <w:tcW w:w="3303" w:type="pct"/>
            <w:tcBorders>
              <w:top w:val="single" w:color="auto" w:sz="4" w:space="0"/>
              <w:left w:val="single" w:color="auto" w:sz="4" w:space="0"/>
              <w:bottom w:val="single" w:color="auto" w:sz="4" w:space="0"/>
              <w:right w:val="single" w:color="auto" w:sz="4" w:space="0"/>
            </w:tcBorders>
            <w:noWrap w:val="0"/>
            <w:vAlign w:val="center"/>
          </w:tcPr>
          <w:p w14:paraId="33A56951">
            <w:pPr>
              <w:spacing w:line="240" w:lineRule="auto"/>
              <w:jc w:val="both"/>
              <w:rPr>
                <w:rFonts w:hint="eastAsia" w:ascii="宋体" w:hAnsi="宋体" w:eastAsia="宋体" w:cs="宋体"/>
                <w:sz w:val="21"/>
                <w:szCs w:val="21"/>
                <w:lang w:eastAsia="zh-CN"/>
              </w:rPr>
            </w:pPr>
            <w:r>
              <w:rPr>
                <w:rFonts w:hint="eastAsia" w:ascii="宋体" w:hAnsi="宋体" w:eastAsia="宋体" w:cs="Calibri Light"/>
                <w:sz w:val="21"/>
                <w:szCs w:val="21"/>
              </w:rPr>
              <w:t>提供</w:t>
            </w:r>
            <w:r>
              <w:rPr>
                <w:rFonts w:ascii="宋体" w:hAnsi="宋体" w:eastAsia="宋体" w:cs="Calibri Light"/>
                <w:sz w:val="21"/>
                <w:szCs w:val="21"/>
              </w:rPr>
              <w:t>针对本项目的</w:t>
            </w:r>
            <w:r>
              <w:rPr>
                <w:rFonts w:hint="eastAsia" w:eastAsia="宋体" w:cs="Times New Roman"/>
                <w:b w:val="0"/>
                <w:bCs w:val="0"/>
                <w:kern w:val="2"/>
                <w:sz w:val="21"/>
                <w:szCs w:val="21"/>
                <w:lang w:val="en-US" w:eastAsia="zh-CN" w:bidi="ar-SA"/>
              </w:rPr>
              <w:t>赔付服务方案</w:t>
            </w:r>
            <w:r>
              <w:rPr>
                <w:rFonts w:ascii="宋体" w:hAnsi="宋体" w:eastAsia="宋体" w:cs="Calibri Light"/>
                <w:sz w:val="21"/>
                <w:szCs w:val="21"/>
              </w:rPr>
              <w:t>，内容</w:t>
            </w:r>
            <w:r>
              <w:rPr>
                <w:rFonts w:hint="eastAsia" w:ascii="宋体" w:hAnsi="宋体" w:eastAsia="宋体" w:cs="Calibri Light"/>
                <w:sz w:val="21"/>
                <w:szCs w:val="21"/>
              </w:rPr>
              <w:t>包括①</w:t>
            </w:r>
            <w:r>
              <w:rPr>
                <w:rFonts w:hint="eastAsia" w:ascii="宋体" w:hAnsi="宋体" w:eastAsia="宋体" w:cs="宋体"/>
                <w:sz w:val="21"/>
                <w:szCs w:val="21"/>
                <w:lang w:eastAsia="zh-CN"/>
              </w:rPr>
              <w:t>理赔响应时间</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理赔需要资料繁杂程度；</w:t>
            </w:r>
            <w:r>
              <w:rPr>
                <w:rFonts w:hint="eastAsia" w:ascii="宋体" w:hAnsi="宋体" w:eastAsia="宋体" w:cs="Calibri Light"/>
                <w:sz w:val="21"/>
                <w:szCs w:val="21"/>
              </w:rPr>
              <w:t>②</w:t>
            </w:r>
            <w:r>
              <w:rPr>
                <w:rFonts w:hint="eastAsia" w:ascii="宋体" w:hAnsi="宋体" w:eastAsia="宋体" w:cs="宋体"/>
                <w:sz w:val="21"/>
                <w:szCs w:val="21"/>
                <w:lang w:eastAsia="zh-CN"/>
              </w:rPr>
              <w:t>赔付时间的快慢；</w:t>
            </w:r>
            <w:r>
              <w:rPr>
                <w:rFonts w:hint="eastAsia" w:ascii="宋体" w:hAnsi="宋体" w:eastAsia="宋体" w:cs="Calibri Light"/>
                <w:sz w:val="21"/>
                <w:szCs w:val="21"/>
              </w:rPr>
              <w:t>③</w:t>
            </w:r>
            <w:r>
              <w:rPr>
                <w:rFonts w:hint="eastAsia" w:ascii="宋体" w:hAnsi="宋体" w:eastAsia="宋体" w:cs="宋体"/>
                <w:sz w:val="21"/>
                <w:szCs w:val="21"/>
                <w:lang w:eastAsia="zh-CN"/>
              </w:rPr>
              <w:t>对于重大交通事故的预赔付承诺。</w:t>
            </w:r>
          </w:p>
          <w:p w14:paraId="3393275C">
            <w:pPr>
              <w:numPr>
                <w:ilvl w:val="0"/>
                <w:numId w:val="0"/>
              </w:num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评审标准:</w:t>
            </w:r>
          </w:p>
          <w:p w14:paraId="2CCF9A30">
            <w:pPr>
              <w:numPr>
                <w:ilvl w:val="0"/>
                <w:numId w:val="0"/>
              </w:num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(1)完整性:方案完整,内容全面，且切合本项目实际情况；(2)合理性:符合项目具体情况，提出的思路、措施及内容，合理恰当；(3)针对性:方案理解深刻、分析透彻且解决方案的清晰描述准确。</w:t>
            </w:r>
          </w:p>
          <w:p w14:paraId="6C6F7910">
            <w:pPr>
              <w:spacing w:line="240"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eastAsia="zh-CN"/>
              </w:rPr>
              <w:t>根据评审标准对上述</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项评审内容进行打分:每项评审内容完全满足得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分，基本满足得</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分，其他情况不得分。</w:t>
            </w:r>
          </w:p>
        </w:tc>
      </w:tr>
      <w:tr w14:paraId="6D00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8" w:type="pct"/>
            <w:vMerge w:val="continue"/>
            <w:tcBorders>
              <w:left w:val="single" w:color="auto" w:sz="4" w:space="0"/>
              <w:right w:val="single" w:color="auto" w:sz="4" w:space="0"/>
            </w:tcBorders>
            <w:noWrap w:val="0"/>
            <w:vAlign w:val="center"/>
          </w:tcPr>
          <w:p w14:paraId="433D010C">
            <w:pPr>
              <w:jc w:val="center"/>
              <w:rPr>
                <w:rFonts w:hint="eastAsia" w:ascii="宋体" w:hAnsi="宋体" w:eastAsia="宋体" w:cs="Times New Roman"/>
                <w:sz w:val="21"/>
                <w:szCs w:val="21"/>
              </w:rPr>
            </w:pPr>
          </w:p>
        </w:tc>
        <w:tc>
          <w:tcPr>
            <w:tcW w:w="557" w:type="pct"/>
            <w:vMerge w:val="continue"/>
            <w:tcBorders>
              <w:left w:val="single" w:color="auto" w:sz="4" w:space="0"/>
              <w:right w:val="single" w:color="auto" w:sz="4" w:space="0"/>
            </w:tcBorders>
            <w:noWrap w:val="0"/>
            <w:vAlign w:val="center"/>
          </w:tcPr>
          <w:p w14:paraId="21F3726C">
            <w:pPr>
              <w:jc w:val="center"/>
              <w:rPr>
                <w:rFonts w:hint="eastAsia" w:ascii="宋体" w:hAnsi="宋体" w:eastAsia="宋体" w:cs="Times New Roman"/>
                <w:sz w:val="21"/>
                <w:szCs w:val="21"/>
              </w:rPr>
            </w:pPr>
          </w:p>
        </w:tc>
        <w:tc>
          <w:tcPr>
            <w:tcW w:w="432" w:type="pct"/>
            <w:tcBorders>
              <w:left w:val="single" w:color="auto" w:sz="4" w:space="0"/>
              <w:right w:val="single" w:color="auto" w:sz="4" w:space="0"/>
            </w:tcBorders>
            <w:noWrap w:val="0"/>
            <w:vAlign w:val="center"/>
          </w:tcPr>
          <w:p w14:paraId="73255C03">
            <w:pPr>
              <w:jc w:val="center"/>
              <w:rPr>
                <w:rFonts w:hint="default" w:ascii="Calibri" w:hAnsi="Calibri" w:eastAsia="宋体" w:cs="Times New Roman"/>
                <w:b w:val="0"/>
                <w:bCs w:val="0"/>
                <w:kern w:val="2"/>
                <w:sz w:val="21"/>
                <w:szCs w:val="21"/>
                <w:lang w:val="en-US" w:eastAsia="zh-CN" w:bidi="ar-SA"/>
              </w:rPr>
            </w:pPr>
            <w:r>
              <w:rPr>
                <w:rFonts w:hint="eastAsia" w:eastAsia="宋体" w:cs="Times New Roman"/>
                <w:b w:val="0"/>
                <w:bCs w:val="0"/>
                <w:kern w:val="2"/>
                <w:sz w:val="21"/>
                <w:szCs w:val="21"/>
                <w:lang w:val="en-US" w:eastAsia="zh-CN" w:bidi="ar-SA"/>
              </w:rPr>
              <w:t>专项</w:t>
            </w:r>
            <w:r>
              <w:rPr>
                <w:rFonts w:hint="default" w:ascii="Calibri" w:hAnsi="Calibri" w:eastAsia="宋体" w:cs="Times New Roman"/>
                <w:b w:val="0"/>
                <w:bCs w:val="0"/>
                <w:kern w:val="2"/>
                <w:sz w:val="21"/>
                <w:szCs w:val="21"/>
                <w:lang w:val="en-US" w:eastAsia="zh-CN" w:bidi="ar-SA"/>
              </w:rPr>
              <w:t>服务方案</w:t>
            </w:r>
          </w:p>
        </w:tc>
        <w:tc>
          <w:tcPr>
            <w:tcW w:w="359" w:type="pct"/>
            <w:tcBorders>
              <w:top w:val="single" w:color="auto" w:sz="4" w:space="0"/>
              <w:left w:val="single" w:color="auto" w:sz="4" w:space="0"/>
              <w:bottom w:val="single" w:color="auto" w:sz="4" w:space="0"/>
              <w:right w:val="single" w:color="auto" w:sz="4" w:space="0"/>
            </w:tcBorders>
            <w:noWrap w:val="0"/>
            <w:vAlign w:val="center"/>
          </w:tcPr>
          <w:p w14:paraId="09D6541A">
            <w:pPr>
              <w:spacing w:line="240" w:lineRule="exact"/>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12</w:t>
            </w:r>
          </w:p>
        </w:tc>
        <w:tc>
          <w:tcPr>
            <w:tcW w:w="3303" w:type="pct"/>
            <w:tcBorders>
              <w:top w:val="single" w:color="auto" w:sz="4" w:space="0"/>
              <w:left w:val="single" w:color="auto" w:sz="4" w:space="0"/>
              <w:bottom w:val="single" w:color="auto" w:sz="4" w:space="0"/>
              <w:right w:val="single" w:color="auto" w:sz="4" w:space="0"/>
            </w:tcBorders>
            <w:noWrap w:val="0"/>
            <w:vAlign w:val="center"/>
          </w:tcPr>
          <w:p w14:paraId="32C8CD0E">
            <w:pPr>
              <w:spacing w:line="240" w:lineRule="auto"/>
              <w:jc w:val="both"/>
              <w:rPr>
                <w:rFonts w:hint="eastAsia" w:eastAsia="宋体" w:cs="Times New Roman"/>
                <w:sz w:val="21"/>
                <w:szCs w:val="21"/>
                <w:lang w:val="en-US" w:eastAsia="zh-CN"/>
              </w:rPr>
            </w:pPr>
            <w:r>
              <w:rPr>
                <w:rFonts w:hint="eastAsia" w:eastAsia="宋体" w:cs="Times New Roman"/>
                <w:sz w:val="21"/>
                <w:szCs w:val="21"/>
                <w:lang w:val="en-US" w:eastAsia="zh-CN"/>
              </w:rPr>
              <w:t>方案编制响应内容完整，逻辑性强、能够完整的体现服务商的服务能力，包含具体的服务方案和制定，内容包括</w:t>
            </w:r>
            <w:r>
              <w:rPr>
                <w:rFonts w:hint="eastAsia" w:ascii="宋体" w:hAnsi="宋体" w:eastAsia="宋体" w:cs="Calibri Light"/>
                <w:sz w:val="21"/>
                <w:szCs w:val="21"/>
              </w:rPr>
              <w:t>①</w:t>
            </w:r>
            <w:r>
              <w:rPr>
                <w:rFonts w:hint="eastAsia" w:eastAsia="宋体" w:cs="Times New Roman"/>
                <w:sz w:val="21"/>
                <w:szCs w:val="21"/>
                <w:lang w:val="en-US" w:eastAsia="zh-CN"/>
              </w:rPr>
              <w:t>应成立专项承保、理赔服务小组，附小组组织架构构成；</w:t>
            </w:r>
            <w:r>
              <w:rPr>
                <w:rFonts w:hint="eastAsia" w:ascii="宋体" w:hAnsi="宋体" w:eastAsia="宋体" w:cs="Calibri Light"/>
                <w:sz w:val="21"/>
                <w:szCs w:val="21"/>
              </w:rPr>
              <w:t>②</w:t>
            </w:r>
            <w:r>
              <w:rPr>
                <w:rFonts w:hint="eastAsia" w:eastAsia="宋体" w:cs="Times New Roman"/>
                <w:sz w:val="21"/>
                <w:szCs w:val="21"/>
                <w:lang w:val="en-US" w:eastAsia="zh-CN"/>
              </w:rPr>
              <w:t>大案、要案、特殊案件的应急处理方案；</w:t>
            </w:r>
            <w:r>
              <w:rPr>
                <w:rFonts w:hint="eastAsia" w:ascii="宋体" w:hAnsi="宋体" w:eastAsia="宋体" w:cs="Calibri Light"/>
                <w:sz w:val="21"/>
                <w:szCs w:val="21"/>
              </w:rPr>
              <w:t>③</w:t>
            </w:r>
            <w:r>
              <w:rPr>
                <w:rFonts w:hint="eastAsia" w:eastAsia="宋体" w:cs="Times New Roman"/>
                <w:sz w:val="21"/>
                <w:szCs w:val="21"/>
                <w:lang w:val="en-US" w:eastAsia="zh-CN"/>
              </w:rPr>
              <w:t>客户服务回访及反馈制度；</w:t>
            </w:r>
            <w:r>
              <w:rPr>
                <w:rFonts w:hint="eastAsia" w:ascii="宋体" w:hAnsi="宋体" w:eastAsia="宋体" w:cs="Calibri Light"/>
                <w:sz w:val="21"/>
                <w:szCs w:val="21"/>
              </w:rPr>
              <w:t>④</w:t>
            </w:r>
            <w:r>
              <w:rPr>
                <w:rFonts w:hint="eastAsia" w:eastAsia="宋体" w:cs="Times New Roman"/>
                <w:sz w:val="21"/>
                <w:szCs w:val="21"/>
                <w:lang w:val="en-US" w:eastAsia="zh-CN"/>
              </w:rPr>
              <w:t>投诉处理措施、</w:t>
            </w:r>
            <w:r>
              <w:rPr>
                <w:rFonts w:hint="eastAsia" w:ascii="宋体" w:hAnsi="宋体" w:eastAsia="宋体" w:cs="宋体"/>
                <w:sz w:val="21"/>
                <w:szCs w:val="21"/>
                <w:lang w:val="zh-CN"/>
              </w:rPr>
              <w:t>投诉管理制度</w:t>
            </w:r>
            <w:r>
              <w:rPr>
                <w:rFonts w:hint="eastAsia" w:eastAsia="宋体" w:cs="Times New Roman"/>
                <w:sz w:val="21"/>
                <w:szCs w:val="21"/>
                <w:lang w:val="en-US" w:eastAsia="zh-CN"/>
              </w:rPr>
              <w:t>。</w:t>
            </w:r>
          </w:p>
          <w:p w14:paraId="0F7EE70D">
            <w:pPr>
              <w:numPr>
                <w:ilvl w:val="0"/>
                <w:numId w:val="0"/>
              </w:num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评审标准:</w:t>
            </w:r>
          </w:p>
          <w:p w14:paraId="70E7CA77">
            <w:pPr>
              <w:numPr>
                <w:ilvl w:val="0"/>
                <w:numId w:val="0"/>
              </w:num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(1)完整性:方案完整,内容全面，且切合本项目实际情况；(2)合理性:符合项目具体情况，提出的思路、措施及内容，合理恰当；(3)针对性:方案理解深刻、分析透彻且解决方案的清晰描述准确。</w:t>
            </w:r>
          </w:p>
          <w:p w14:paraId="533C8372">
            <w:pPr>
              <w:spacing w:line="240" w:lineRule="auto"/>
              <w:jc w:val="both"/>
              <w:rPr>
                <w:rFonts w:hint="eastAsia" w:ascii="Calibri" w:hAnsi="Calibri" w:eastAsia="宋体" w:cs="Times New Roman"/>
                <w:b w:val="0"/>
                <w:bCs w:val="0"/>
                <w:kern w:val="2"/>
                <w:sz w:val="21"/>
                <w:szCs w:val="21"/>
                <w:lang w:val="zh-CN" w:eastAsia="zh-CN" w:bidi="ar-SA"/>
              </w:rPr>
            </w:pPr>
            <w:r>
              <w:rPr>
                <w:rFonts w:hint="eastAsia" w:ascii="宋体" w:hAnsi="宋体" w:eastAsia="宋体" w:cs="宋体"/>
                <w:sz w:val="21"/>
                <w:szCs w:val="21"/>
                <w:lang w:eastAsia="zh-CN"/>
              </w:rPr>
              <w:t>根据评审标准对上述</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项评审内容进行打分:每项评审内容完全满足得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分，基本满足得</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分，其他情况不得分。</w:t>
            </w:r>
          </w:p>
        </w:tc>
      </w:tr>
      <w:tr w14:paraId="52EF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8" w:type="pct"/>
            <w:vMerge w:val="continue"/>
            <w:tcBorders>
              <w:left w:val="single" w:color="auto" w:sz="4" w:space="0"/>
              <w:right w:val="single" w:color="auto" w:sz="4" w:space="0"/>
            </w:tcBorders>
            <w:noWrap w:val="0"/>
            <w:vAlign w:val="center"/>
          </w:tcPr>
          <w:p w14:paraId="02D2CD13">
            <w:pPr>
              <w:jc w:val="center"/>
              <w:rPr>
                <w:rFonts w:hint="eastAsia" w:ascii="宋体" w:hAnsi="宋体" w:eastAsia="宋体" w:cs="Times New Roman"/>
                <w:sz w:val="21"/>
                <w:szCs w:val="21"/>
              </w:rPr>
            </w:pPr>
          </w:p>
        </w:tc>
        <w:tc>
          <w:tcPr>
            <w:tcW w:w="557" w:type="pct"/>
            <w:vMerge w:val="continue"/>
            <w:tcBorders>
              <w:left w:val="single" w:color="auto" w:sz="4" w:space="0"/>
              <w:right w:val="single" w:color="auto" w:sz="4" w:space="0"/>
            </w:tcBorders>
            <w:noWrap w:val="0"/>
            <w:vAlign w:val="center"/>
          </w:tcPr>
          <w:p w14:paraId="22837A42">
            <w:pPr>
              <w:jc w:val="center"/>
              <w:rPr>
                <w:rFonts w:hint="eastAsia" w:ascii="宋体" w:hAnsi="宋体" w:eastAsia="宋体" w:cs="Times New Roman"/>
                <w:sz w:val="21"/>
                <w:szCs w:val="21"/>
              </w:rPr>
            </w:pPr>
          </w:p>
        </w:tc>
        <w:tc>
          <w:tcPr>
            <w:tcW w:w="432" w:type="pct"/>
            <w:tcBorders>
              <w:left w:val="single" w:color="auto" w:sz="4" w:space="0"/>
              <w:right w:val="single" w:color="auto" w:sz="4" w:space="0"/>
            </w:tcBorders>
            <w:noWrap w:val="0"/>
            <w:vAlign w:val="center"/>
          </w:tcPr>
          <w:p w14:paraId="594008B6">
            <w:pPr>
              <w:jc w:val="center"/>
              <w:rPr>
                <w:rFonts w:hint="default" w:ascii="Calibri" w:hAnsi="Calibri" w:eastAsia="宋体" w:cs="Times New Roman"/>
                <w:b w:val="0"/>
                <w:bCs w:val="0"/>
                <w:kern w:val="2"/>
                <w:sz w:val="21"/>
                <w:szCs w:val="21"/>
                <w:lang w:val="en-US" w:eastAsia="zh-CN" w:bidi="ar-SA"/>
              </w:rPr>
            </w:pPr>
            <w:r>
              <w:rPr>
                <w:rFonts w:hint="default" w:ascii="Calibri" w:hAnsi="Calibri" w:eastAsia="宋体" w:cs="Times New Roman"/>
                <w:b w:val="0"/>
                <w:bCs w:val="0"/>
                <w:kern w:val="2"/>
                <w:sz w:val="21"/>
                <w:szCs w:val="21"/>
                <w:lang w:val="en-US" w:eastAsia="zh-CN" w:bidi="ar-SA"/>
              </w:rPr>
              <w:t>内部组织管理情况</w:t>
            </w:r>
          </w:p>
        </w:tc>
        <w:tc>
          <w:tcPr>
            <w:tcW w:w="359" w:type="pct"/>
            <w:tcBorders>
              <w:top w:val="single" w:color="auto" w:sz="4" w:space="0"/>
              <w:left w:val="single" w:color="auto" w:sz="4" w:space="0"/>
              <w:bottom w:val="single" w:color="auto" w:sz="4" w:space="0"/>
              <w:right w:val="single" w:color="auto" w:sz="4" w:space="0"/>
            </w:tcBorders>
            <w:noWrap w:val="0"/>
            <w:vAlign w:val="center"/>
          </w:tcPr>
          <w:p w14:paraId="3E8C5AC7">
            <w:pPr>
              <w:spacing w:line="240" w:lineRule="exact"/>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9</w:t>
            </w:r>
          </w:p>
        </w:tc>
        <w:tc>
          <w:tcPr>
            <w:tcW w:w="3303" w:type="pct"/>
            <w:tcBorders>
              <w:top w:val="single" w:color="auto" w:sz="4" w:space="0"/>
              <w:left w:val="single" w:color="auto" w:sz="4" w:space="0"/>
              <w:bottom w:val="single" w:color="auto" w:sz="4" w:space="0"/>
              <w:right w:val="single" w:color="auto" w:sz="4" w:space="0"/>
            </w:tcBorders>
            <w:noWrap w:val="0"/>
            <w:vAlign w:val="center"/>
          </w:tcPr>
          <w:p w14:paraId="638E8E60">
            <w:pPr>
              <w:numPr>
                <w:ilvl w:val="0"/>
                <w:numId w:val="0"/>
              </w:numPr>
              <w:spacing w:line="240" w:lineRule="auto"/>
              <w:jc w:val="both"/>
              <w:rPr>
                <w:rFonts w:hint="eastAsia" w:ascii="宋体" w:hAnsi="宋体" w:eastAsia="宋体" w:cs="宋体"/>
                <w:sz w:val="21"/>
                <w:szCs w:val="21"/>
                <w:lang w:val="zh-CN"/>
              </w:rPr>
            </w:pPr>
            <w:r>
              <w:rPr>
                <w:rFonts w:hint="eastAsia" w:ascii="宋体" w:hAnsi="宋体" w:eastAsia="宋体" w:cs="Calibri Light"/>
                <w:sz w:val="21"/>
                <w:szCs w:val="21"/>
              </w:rPr>
              <w:t>提供</w:t>
            </w:r>
            <w:r>
              <w:rPr>
                <w:rFonts w:ascii="宋体" w:hAnsi="宋体" w:eastAsia="宋体" w:cs="Calibri Light"/>
                <w:sz w:val="21"/>
                <w:szCs w:val="21"/>
              </w:rPr>
              <w:t>针对本项目的</w:t>
            </w:r>
            <w:r>
              <w:rPr>
                <w:rFonts w:hint="eastAsia" w:eastAsia="宋体" w:cs="Times New Roman"/>
                <w:b w:val="0"/>
                <w:bCs w:val="0"/>
                <w:kern w:val="2"/>
                <w:sz w:val="21"/>
                <w:szCs w:val="21"/>
                <w:lang w:val="en-US" w:eastAsia="zh-CN" w:bidi="ar-SA"/>
              </w:rPr>
              <w:t>赔付服务方案</w:t>
            </w:r>
            <w:r>
              <w:rPr>
                <w:rFonts w:ascii="宋体" w:hAnsi="宋体" w:eastAsia="宋体" w:cs="Calibri Light"/>
                <w:sz w:val="21"/>
                <w:szCs w:val="21"/>
              </w:rPr>
              <w:t>，内容</w:t>
            </w:r>
            <w:r>
              <w:rPr>
                <w:rFonts w:hint="eastAsia" w:ascii="宋体" w:hAnsi="宋体" w:eastAsia="宋体" w:cs="Calibri Light"/>
                <w:sz w:val="21"/>
                <w:szCs w:val="21"/>
              </w:rPr>
              <w:t>包括①</w:t>
            </w:r>
            <w:r>
              <w:rPr>
                <w:rFonts w:hint="eastAsia" w:ascii="宋体" w:hAnsi="宋体" w:eastAsia="宋体" w:cs="宋体"/>
                <w:sz w:val="21"/>
                <w:szCs w:val="21"/>
                <w:lang w:val="zh-CN"/>
              </w:rPr>
              <w:t>投标人的内部管理体系和制度健全；</w:t>
            </w:r>
            <w:r>
              <w:rPr>
                <w:rFonts w:hint="eastAsia" w:ascii="宋体" w:hAnsi="宋体" w:eastAsia="宋体" w:cs="Calibri Light"/>
                <w:sz w:val="21"/>
                <w:szCs w:val="21"/>
              </w:rPr>
              <w:t>②</w:t>
            </w:r>
            <w:r>
              <w:rPr>
                <w:rFonts w:hint="eastAsia" w:ascii="宋体" w:hAnsi="宋体" w:eastAsia="宋体" w:cs="宋体"/>
                <w:sz w:val="21"/>
                <w:szCs w:val="21"/>
                <w:lang w:val="zh-CN"/>
              </w:rPr>
              <w:t>风险管控措施完善；</w:t>
            </w:r>
            <w:r>
              <w:rPr>
                <w:rFonts w:hint="eastAsia" w:ascii="宋体" w:hAnsi="宋体" w:eastAsia="宋体" w:cs="Calibri Light"/>
                <w:sz w:val="21"/>
                <w:szCs w:val="21"/>
              </w:rPr>
              <w:t>③</w:t>
            </w:r>
            <w:r>
              <w:rPr>
                <w:rFonts w:hint="eastAsia" w:ascii="宋体" w:hAnsi="宋体" w:eastAsia="宋体" w:cs="宋体"/>
                <w:sz w:val="21"/>
                <w:szCs w:val="21"/>
                <w:lang w:val="zh-CN"/>
              </w:rPr>
              <w:t>管理规范、条理清晰明确，有严格规范的奖惩制度。</w:t>
            </w:r>
          </w:p>
          <w:p w14:paraId="716BE763">
            <w:pPr>
              <w:numPr>
                <w:ilvl w:val="0"/>
                <w:numId w:val="0"/>
              </w:num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评审标准:</w:t>
            </w:r>
          </w:p>
          <w:p w14:paraId="276C531C">
            <w:pPr>
              <w:numPr>
                <w:ilvl w:val="0"/>
                <w:numId w:val="0"/>
              </w:numPr>
              <w:spacing w:line="240" w:lineRule="auto"/>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(1)完整性:方案完整,内容全面，且切合本项目实际情况；(2)合理性:符合项目具体情况，提出的思路、措施及内容，合理恰当；(3)针对性:方案理解深刻、分析透彻且解决方案的清晰描述准确。</w:t>
            </w:r>
          </w:p>
          <w:p w14:paraId="44D6DEE0">
            <w:pPr>
              <w:numPr>
                <w:ilvl w:val="0"/>
                <w:numId w:val="0"/>
              </w:numPr>
              <w:spacing w:line="240" w:lineRule="auto"/>
              <w:jc w:val="both"/>
              <w:rPr>
                <w:rFonts w:hint="eastAsia" w:ascii="宋体" w:hAnsi="宋体" w:eastAsia="宋体" w:cs="宋体"/>
                <w:sz w:val="21"/>
                <w:szCs w:val="21"/>
                <w:lang w:val="zh-CN"/>
              </w:rPr>
            </w:pPr>
            <w:r>
              <w:rPr>
                <w:rFonts w:hint="eastAsia" w:ascii="宋体" w:hAnsi="宋体" w:eastAsia="宋体" w:cs="宋体"/>
                <w:sz w:val="21"/>
                <w:szCs w:val="21"/>
                <w:lang w:eastAsia="zh-CN"/>
              </w:rPr>
              <w:t>根据评审标准对上述</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项评审内容进行打分:每项评审内容完全满足得</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分，基本满足得</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分，其他情况不得分。</w:t>
            </w:r>
          </w:p>
        </w:tc>
      </w:tr>
    </w:tbl>
    <w:p w14:paraId="5F91D72B">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CBF56"/>
    <w:multiLevelType w:val="singleLevel"/>
    <w:tmpl w:val="CE0CBF5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4123C"/>
    <w:rsid w:val="7B041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2026-02-27T04:46:00Z</dcterms:created>
  <dc:creator>Cathy </dc:creator>
  <cp:lastModifiedBy>Cathy </cp:lastModifiedBy>
  <dcterms:modified xsi:type="dcterms:W3CDTF">2026-02-27T04:47:40Z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9BFB5689EA044ADD994C96AB98A9C599_11</vt:lpwstr>
  </property>
  <property fmtid="{D5CDD505-2E9C-101B-9397-08002B2CF9AE}" pid="4" name="KSOTemplateDocerSaveRecord">
    <vt:lpwstr>eyJoZGlkIjoiNDYyMjUzOGE5NWEwM2I1MGIwM2QwNjFiNjVkMmI4Y2UiLCJ1c2VySWQiOiIzNDQxNTYzMzcifQ==</vt:lpwstr>
  </property>
</Properties>
</file>